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0F" w:rsidRDefault="00DB7BA9">
      <w:pPr>
        <w:pStyle w:val="Textbody"/>
        <w:autoSpaceDE w:val="0"/>
        <w:spacing w:before="108" w:after="108"/>
        <w:jc w:val="right"/>
        <w:rPr>
          <w:color w:val="26282F"/>
          <w:sz w:val="28"/>
          <w:szCs w:val="26"/>
          <w:lang w:val="ru-RU"/>
        </w:rPr>
      </w:pPr>
      <w:r>
        <w:rPr>
          <w:color w:val="26282F"/>
          <w:sz w:val="28"/>
          <w:szCs w:val="26"/>
          <w:lang w:val="ru-RU"/>
        </w:rPr>
        <w:t>ПРОЕКТ</w:t>
      </w:r>
      <w:r w:rsidR="003B5CC5">
        <w:rPr>
          <w:color w:val="26282F"/>
          <w:sz w:val="28"/>
          <w:szCs w:val="26"/>
          <w:lang w:val="ru-RU"/>
        </w:rPr>
        <w:t xml:space="preserve">     </w:t>
      </w:r>
    </w:p>
    <w:p w:rsidR="0050140F" w:rsidRDefault="003B5CC5">
      <w:pPr>
        <w:pStyle w:val="Standard"/>
        <w:autoSpaceDE w:val="0"/>
        <w:spacing w:before="108" w:after="108"/>
        <w:jc w:val="center"/>
      </w:pPr>
      <w:r>
        <w:rPr>
          <w:sz w:val="28"/>
          <w:szCs w:val="28"/>
          <w:lang w:val="ru-RU"/>
        </w:rPr>
        <w:t xml:space="preserve">Муниципальная </w:t>
      </w:r>
      <w:bookmarkStart w:id="0" w:name="sub_1000"/>
      <w:r>
        <w:rPr>
          <w:sz w:val="28"/>
          <w:szCs w:val="28"/>
        </w:rPr>
        <w:t>программа</w:t>
      </w:r>
    </w:p>
    <w:p w:rsidR="0050140F" w:rsidRDefault="003B5CC5">
      <w:pPr>
        <w:pStyle w:val="Standard"/>
        <w:autoSpaceDE w:val="0"/>
        <w:spacing w:before="108" w:after="108"/>
        <w:jc w:val="center"/>
      </w:pPr>
      <w:r>
        <w:rPr>
          <w:rFonts w:cs="Times New Roman"/>
          <w:sz w:val="28"/>
          <w:szCs w:val="28"/>
        </w:rPr>
        <w:t xml:space="preserve">«Комплексное развитие систем коммунальной инфраструктуры </w:t>
      </w:r>
      <w:r>
        <w:rPr>
          <w:rStyle w:val="13"/>
          <w:rFonts w:cs="Times New Roman"/>
          <w:color w:val="000000"/>
          <w:sz w:val="28"/>
          <w:szCs w:val="28"/>
          <w:lang w:val="ru-RU" w:eastAsia="ar-SA" w:bidi="ar-SA"/>
        </w:rPr>
        <w:t>Жердевского муниципального округа»</w:t>
      </w:r>
      <w:r>
        <w:rPr>
          <w:sz w:val="28"/>
          <w:szCs w:val="28"/>
        </w:rPr>
        <w:br/>
        <w:t>(далее - программа)</w:t>
      </w:r>
      <w:bookmarkEnd w:id="0"/>
    </w:p>
    <w:p w:rsidR="0050140F" w:rsidRDefault="003B5CC5">
      <w:pPr>
        <w:pStyle w:val="Standard"/>
        <w:autoSpaceDE w:val="0"/>
        <w:spacing w:before="108" w:after="108"/>
        <w:jc w:val="center"/>
      </w:pPr>
      <w:bookmarkStart w:id="1" w:name="sub_100"/>
      <w:r>
        <w:rPr>
          <w:sz w:val="28"/>
          <w:szCs w:val="28"/>
        </w:rPr>
        <w:t>Паспорт программ</w:t>
      </w:r>
      <w:bookmarkEnd w:id="1"/>
      <w:r>
        <w:rPr>
          <w:sz w:val="28"/>
          <w:szCs w:val="28"/>
          <w:lang w:val="ru-RU"/>
        </w:rPr>
        <w:t>ы</w:t>
      </w: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TableContents"/>
              <w:autoSpaceDE w:val="0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Градостроительный кодекс Российской Федерации от 29.12.2004 № 190-ФЗ, Федеральный закон от 06.10.2003 № 131-Ф3 «Об общих принципах организации местного самоуправления в Российской Федерации», Федеральный закон от 30.12.2004 № 210-ФЗ «Об основах регулирования тарифов организаций коммунального комплекса»,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Приказ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</w:t>
            </w:r>
          </w:p>
        </w:tc>
      </w:tr>
      <w:tr w:rsidR="0050140F"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Ответственный исполнитель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  <w:p w:rsidR="0050140F" w:rsidRDefault="0050140F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Отдел ЖКХ, строительства и архитектуры администрации Жердевского муниципального округа  </w:t>
            </w: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Соисполнители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Организации коммунального комплекса</w:t>
            </w:r>
          </w:p>
          <w:p w:rsidR="0050140F" w:rsidRDefault="0050140F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a8"/>
              <w:autoSpaceDE w:val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Повышение качества </w:t>
            </w:r>
            <w:r>
              <w:rPr>
                <w:rFonts w:ascii="Times New Roman" w:hAnsi="Times New Roman"/>
                <w:spacing w:val="-1"/>
                <w:sz w:val="26"/>
                <w:szCs w:val="26"/>
              </w:rPr>
              <w:t>условий проживания, надёжности и экологической безопасности коммунального обслуживания,</w:t>
            </w:r>
          </w:p>
          <w:p w:rsidR="0050140F" w:rsidRDefault="003B5CC5">
            <w:pPr>
              <w:pStyle w:val="a8"/>
              <w:autoSpaceDE w:val="0"/>
              <w:jc w:val="both"/>
            </w:pPr>
            <w:r>
              <w:rPr>
                <w:rFonts w:ascii="Times New Roman" w:hAnsi="Times New Roman"/>
                <w:spacing w:val="-1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преобразование коммунального комплекса в 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самодостаточный сектор экономики, действующий в </w:t>
            </w:r>
            <w:r>
              <w:rPr>
                <w:rFonts w:ascii="Times New Roman" w:hAnsi="Times New Roman"/>
                <w:spacing w:val="-1"/>
                <w:sz w:val="26"/>
                <w:szCs w:val="26"/>
              </w:rPr>
              <w:t>интересах населения и других потребителей</w:t>
            </w: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Задачи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pacing w:val="-2"/>
                <w:sz w:val="26"/>
                <w:szCs w:val="26"/>
                <w:lang w:val="ru-RU"/>
              </w:rPr>
              <w:t xml:space="preserve">- Модернизация коммунальной инфраструктуры для </w:t>
            </w:r>
            <w:r>
              <w:rPr>
                <w:sz w:val="26"/>
                <w:szCs w:val="26"/>
                <w:lang w:val="ru-RU"/>
              </w:rPr>
              <w:t>повышения ресурсной эффективности;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pacing w:val="-1"/>
                <w:sz w:val="26"/>
                <w:szCs w:val="26"/>
                <w:lang w:val="ru-RU"/>
              </w:rPr>
              <w:t xml:space="preserve">- разработка и утверждение технических заданий на формирование проектов инвестиционных программ </w:t>
            </w:r>
            <w:r>
              <w:rPr>
                <w:spacing w:val="-2"/>
                <w:sz w:val="26"/>
                <w:szCs w:val="26"/>
                <w:lang w:val="ru-RU"/>
              </w:rPr>
              <w:t>организаций коммунального комплекса;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pacing w:val="-2"/>
                <w:sz w:val="26"/>
                <w:szCs w:val="26"/>
                <w:lang w:val="ru-RU"/>
              </w:rPr>
              <w:t xml:space="preserve">- </w:t>
            </w:r>
            <w:r>
              <w:rPr>
                <w:sz w:val="26"/>
                <w:szCs w:val="26"/>
                <w:lang w:val="ru-RU"/>
              </w:rPr>
              <w:t>разработка инвестиционных программ организаций коммунального комплекса;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pacing w:val="-1"/>
                <w:sz w:val="26"/>
                <w:szCs w:val="26"/>
                <w:lang w:val="ru-RU"/>
              </w:rPr>
              <w:t xml:space="preserve">- повышение эффективности управления и </w:t>
            </w:r>
            <w:r>
              <w:rPr>
                <w:sz w:val="26"/>
                <w:szCs w:val="26"/>
                <w:lang w:val="ru-RU"/>
              </w:rPr>
              <w:t xml:space="preserve">регулирования рынка коммунальных услуг, </w:t>
            </w:r>
            <w:r>
              <w:rPr>
                <w:spacing w:val="-1"/>
                <w:sz w:val="26"/>
                <w:szCs w:val="26"/>
                <w:lang w:val="ru-RU"/>
              </w:rPr>
              <w:t xml:space="preserve">обеспечение эффективной производственной и инвестиционной деятельности операторов </w:t>
            </w:r>
            <w:r>
              <w:rPr>
                <w:sz w:val="26"/>
                <w:szCs w:val="26"/>
                <w:lang w:val="ru-RU"/>
              </w:rPr>
              <w:t>коммунального сектора;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- создание режима наибольшего благоприятствования </w:t>
            </w:r>
            <w:r>
              <w:rPr>
                <w:spacing w:val="-4"/>
                <w:sz w:val="26"/>
                <w:szCs w:val="26"/>
                <w:lang w:val="ru-RU"/>
              </w:rPr>
              <w:t xml:space="preserve">для привлечения средств внебюджетных источников </w:t>
            </w:r>
            <w:r>
              <w:rPr>
                <w:sz w:val="26"/>
                <w:szCs w:val="26"/>
                <w:lang w:val="ru-RU"/>
              </w:rPr>
              <w:t xml:space="preserve">(в том числе средств частных инвесторов, кредитных </w:t>
            </w:r>
            <w:r>
              <w:rPr>
                <w:spacing w:val="-1"/>
                <w:sz w:val="26"/>
                <w:szCs w:val="26"/>
                <w:lang w:val="ru-RU"/>
              </w:rPr>
              <w:lastRenderedPageBreak/>
              <w:t xml:space="preserve">средств и личных средств граждан) для финансирования проектов модернизации объектов </w:t>
            </w:r>
            <w:r>
              <w:rPr>
                <w:sz w:val="26"/>
                <w:szCs w:val="26"/>
                <w:lang w:val="ru-RU"/>
              </w:rPr>
              <w:t>коммунальной инфраструктуры;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 - достижение баланса интересов потребителей и </w:t>
            </w:r>
            <w:r>
              <w:rPr>
                <w:spacing w:val="-4"/>
                <w:sz w:val="26"/>
                <w:szCs w:val="26"/>
                <w:lang w:val="ru-RU"/>
              </w:rPr>
              <w:t xml:space="preserve">предприятий коммунального комплекса, обеспечение </w:t>
            </w:r>
            <w:r>
              <w:rPr>
                <w:sz w:val="26"/>
                <w:szCs w:val="26"/>
                <w:lang w:val="ru-RU"/>
              </w:rPr>
              <w:t>доступности услуг для потребителей.</w:t>
            </w: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lastRenderedPageBreak/>
              <w:t>Целевые индикаторы и показатели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- перспективная обеспеченность застройки поселения; - обеспечение надежности, энергоэффективности и развития системы коммунальной инфраструктуры;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- удовлетворенность населения жилищно-коммунальными услугами;</w:t>
            </w:r>
          </w:p>
          <w:p w:rsidR="0050140F" w:rsidRDefault="003B5CC5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lang w:val="ru-RU"/>
              </w:rPr>
              <w:t xml:space="preserve">процент </w:t>
            </w:r>
            <w:r>
              <w:rPr>
                <w:sz w:val="26"/>
                <w:szCs w:val="26"/>
              </w:rPr>
              <w:t>снижение степени износа коммунальной инфраструктуры</w:t>
            </w:r>
          </w:p>
          <w:p w:rsidR="0050140F" w:rsidRDefault="0050140F">
            <w:pPr>
              <w:pStyle w:val="Standard"/>
              <w:autoSpaceDE w:val="0"/>
              <w:rPr>
                <w:color w:val="000000"/>
                <w:sz w:val="26"/>
                <w:szCs w:val="26"/>
              </w:rPr>
            </w:pP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программа</w:t>
            </w:r>
          </w:p>
          <w:p w:rsidR="0050140F" w:rsidRDefault="0050140F">
            <w:pPr>
              <w:pStyle w:val="Standard"/>
              <w:autoSpaceDE w:val="0"/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2024-2030 годы</w:t>
            </w:r>
          </w:p>
        </w:tc>
      </w:tr>
      <w:tr w:rsidR="0050140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0F" w:rsidRDefault="003B5C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A9" w:rsidRPr="00A77C2F" w:rsidRDefault="00DB7BA9" w:rsidP="00DB7BA9">
            <w:pPr>
              <w:jc w:val="both"/>
            </w:pPr>
            <w:bookmarkStart w:id="2" w:name="__DdeLink__22285_134676759"/>
            <w:bookmarkStart w:id="3" w:name="_GoBack"/>
            <w:bookmarkEnd w:id="2"/>
            <w:r w:rsidRPr="00A77C2F">
              <w:rPr>
                <w:b/>
              </w:rPr>
              <w:t>Итого по 2024 году – 5</w:t>
            </w:r>
            <w:r w:rsidR="00A77C2F" w:rsidRPr="00A77C2F">
              <w:rPr>
                <w:b/>
                <w:lang w:val="ru-RU"/>
              </w:rPr>
              <w:t xml:space="preserve"> 000</w:t>
            </w:r>
            <w:r w:rsidRPr="00A77C2F">
              <w:rPr>
                <w:b/>
              </w:rPr>
              <w:t>,0 тыс. рублей</w:t>
            </w:r>
            <w:r w:rsidRPr="00A77C2F">
              <w:t xml:space="preserve">, в том числе: </w:t>
            </w:r>
          </w:p>
          <w:p w:rsidR="00DB7BA9" w:rsidRPr="00A77C2F" w:rsidRDefault="00DB7BA9" w:rsidP="00DB7BA9">
            <w:pPr>
              <w:jc w:val="both"/>
            </w:pPr>
            <w:r w:rsidRPr="00A77C2F">
              <w:t xml:space="preserve">бюджет Жердевского муниципального округа – </w:t>
            </w:r>
            <w:r w:rsidR="00A77C2F" w:rsidRPr="00A77C2F">
              <w:rPr>
                <w:lang w:val="ru-RU"/>
              </w:rPr>
              <w:t>5</w:t>
            </w:r>
            <w:r w:rsidRPr="00A77C2F">
              <w:t> </w:t>
            </w:r>
            <w:r w:rsidR="00A77C2F" w:rsidRPr="00A77C2F">
              <w:rPr>
                <w:lang w:val="ru-RU"/>
              </w:rPr>
              <w:t>000</w:t>
            </w:r>
            <w:r w:rsidRPr="00A77C2F">
              <w:t>,0 тыс. рублей;</w:t>
            </w:r>
          </w:p>
          <w:p w:rsidR="00DB7BA9" w:rsidRPr="00A77C2F" w:rsidRDefault="00DB7BA9" w:rsidP="00DB7BA9">
            <w:pPr>
              <w:jc w:val="both"/>
            </w:pPr>
            <w:r w:rsidRPr="00A77C2F">
              <w:rPr>
                <w:b/>
              </w:rPr>
              <w:t>Итого по 2025 году – 5</w:t>
            </w:r>
            <w:r w:rsidR="00A77C2F" w:rsidRPr="00A77C2F">
              <w:rPr>
                <w:b/>
                <w:lang w:val="ru-RU"/>
              </w:rPr>
              <w:t xml:space="preserve"> 000</w:t>
            </w:r>
            <w:r w:rsidRPr="00A77C2F">
              <w:rPr>
                <w:b/>
              </w:rPr>
              <w:t>,0 тыс. рублей</w:t>
            </w:r>
            <w:r w:rsidRPr="00A77C2F">
              <w:t xml:space="preserve">, в том числе: </w:t>
            </w:r>
          </w:p>
          <w:p w:rsidR="00A77C2F" w:rsidRPr="00A77C2F" w:rsidRDefault="00DB7BA9" w:rsidP="00DB7BA9">
            <w:pPr>
              <w:jc w:val="both"/>
            </w:pPr>
            <w:r w:rsidRPr="00A77C2F">
              <w:t>средства бюджета Жердевск</w:t>
            </w:r>
            <w:r w:rsidR="00A77C2F" w:rsidRPr="00A77C2F">
              <w:t xml:space="preserve">ого муниципального округа – </w:t>
            </w:r>
          </w:p>
          <w:p w:rsidR="00DB7BA9" w:rsidRPr="00A77C2F" w:rsidRDefault="00DB7BA9" w:rsidP="00DB7BA9">
            <w:pPr>
              <w:jc w:val="both"/>
            </w:pPr>
            <w:r w:rsidRPr="00A77C2F">
              <w:t>5</w:t>
            </w:r>
            <w:r w:rsidR="00A77C2F" w:rsidRPr="00A77C2F">
              <w:rPr>
                <w:lang w:val="ru-RU"/>
              </w:rPr>
              <w:t xml:space="preserve"> 000</w:t>
            </w:r>
            <w:r w:rsidRPr="00A77C2F">
              <w:t>,0 тыс. рублей;</w:t>
            </w:r>
          </w:p>
          <w:p w:rsidR="00DB7BA9" w:rsidRPr="00A77C2F" w:rsidRDefault="00DB7BA9" w:rsidP="00DB7BA9">
            <w:pPr>
              <w:jc w:val="both"/>
            </w:pPr>
            <w:r w:rsidRPr="00A77C2F">
              <w:rPr>
                <w:b/>
              </w:rPr>
              <w:t>Итого по 2026 году – 8 </w:t>
            </w:r>
            <w:r w:rsidR="00A77C2F" w:rsidRPr="00A77C2F">
              <w:rPr>
                <w:b/>
                <w:lang w:val="ru-RU"/>
              </w:rPr>
              <w:t>000</w:t>
            </w:r>
            <w:r w:rsidRPr="00A77C2F">
              <w:rPr>
                <w:b/>
              </w:rPr>
              <w:t>,0 тыс. рублей</w:t>
            </w:r>
            <w:r w:rsidRPr="00A77C2F">
              <w:t xml:space="preserve">, в том числе: </w:t>
            </w:r>
          </w:p>
          <w:p w:rsidR="0050140F" w:rsidRDefault="00DB7BA9" w:rsidP="00A77C2F">
            <w:pPr>
              <w:pStyle w:val="Standard"/>
              <w:autoSpaceDE w:val="0"/>
              <w:rPr>
                <w:sz w:val="26"/>
                <w:szCs w:val="26"/>
              </w:rPr>
            </w:pPr>
            <w:r w:rsidRPr="00A77C2F">
              <w:t>средства бюджета Жердевского муниципального округа – 8 </w:t>
            </w:r>
            <w:r w:rsidR="00A77C2F" w:rsidRPr="00A77C2F">
              <w:rPr>
                <w:lang w:val="ru-RU"/>
              </w:rPr>
              <w:t>000</w:t>
            </w:r>
            <w:r w:rsidRPr="00A77C2F">
              <w:t>,0 тыс. рублей.</w:t>
            </w:r>
            <w:bookmarkEnd w:id="3"/>
          </w:p>
        </w:tc>
      </w:tr>
    </w:tbl>
    <w:p w:rsidR="0050140F" w:rsidRDefault="0050140F">
      <w:pPr>
        <w:pStyle w:val="Standard"/>
        <w:autoSpaceDE w:val="0"/>
        <w:ind w:firstLine="720"/>
        <w:jc w:val="both"/>
        <w:rPr>
          <w:lang w:val="ru-RU"/>
        </w:rPr>
      </w:pPr>
    </w:p>
    <w:sectPr w:rsidR="0050140F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C5" w:rsidRDefault="003B5CC5">
      <w:r>
        <w:separator/>
      </w:r>
    </w:p>
  </w:endnote>
  <w:endnote w:type="continuationSeparator" w:id="0">
    <w:p w:rsidR="003B5CC5" w:rsidRDefault="003B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</w:font>
  <w:font w:name="Calibri, Arial">
    <w:altName w:val="Arial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C5" w:rsidRDefault="003B5CC5">
      <w:r>
        <w:rPr>
          <w:color w:val="000000"/>
        </w:rPr>
        <w:separator/>
      </w:r>
    </w:p>
  </w:footnote>
  <w:footnote w:type="continuationSeparator" w:id="0">
    <w:p w:rsidR="003B5CC5" w:rsidRDefault="003B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0DA1"/>
    <w:multiLevelType w:val="multilevel"/>
    <w:tmpl w:val="29A2AFDE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40F"/>
    <w:rsid w:val="003B5CC5"/>
    <w:rsid w:val="0050140F"/>
    <w:rsid w:val="00A77C2F"/>
    <w:rsid w:val="00DB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2512"/>
  <w15:docId w15:val="{7325C2DF-F590-4FC1-B733-4D7DD214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1"/>
  </w:style>
  <w:style w:type="character" w:customStyle="1" w:styleId="af0">
    <w:name w:val="Нижний колонтитул Знак"/>
    <w:basedOn w:val="a1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3</cp:revision>
  <dcterms:created xsi:type="dcterms:W3CDTF">2023-10-11T09:22:00Z</dcterms:created>
  <dcterms:modified xsi:type="dcterms:W3CDTF">2023-11-08T07:39:00Z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