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2"/>
        <w:spacing w:lineRule="auto" w:line="240" w:before="0" w:after="0"/>
        <w:ind w:left="0" w:right="0" w:hanging="0"/>
        <w:jc w:val="right"/>
        <w:rPr>
          <w:rFonts w:ascii="Times New Roman" w:hAnsi="Times New Roman" w:cs="Times New Roman"/>
          <w:b/>
          <w:b/>
          <w:bCs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/>
          <w:bCs/>
          <w:i/>
          <w:iCs/>
          <w:sz w:val="28"/>
          <w:szCs w:val="28"/>
        </w:rPr>
        <w:t>проект</w:t>
      </w:r>
    </w:p>
    <w:p>
      <w:pPr>
        <w:pStyle w:val="Style22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</w:r>
    </w:p>
    <w:p>
      <w:pPr>
        <w:pStyle w:val="Style22"/>
        <w:spacing w:lineRule="auto" w:line="240" w:before="0" w:after="0"/>
        <w:ind w:left="0" w:right="0" w:hanging="0"/>
        <w:jc w:val="center"/>
        <w:rPr>
          <w:rFonts w:ascii="Times New Roman;serif" w:hAnsi="Times New Roman;serif" w:cs="Times New Roman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cs="Times New Roman" w:ascii="Times New Roman;serif" w:hAnsi="Times New Roman;serif"/>
          <w:b w:val="false"/>
          <w:bCs w:val="false"/>
          <w:i w:val="false"/>
          <w:iCs w:val="false"/>
          <w:sz w:val="28"/>
          <w:szCs w:val="28"/>
        </w:rPr>
        <w:t>СОВЕТ ДЕПУТАТОВ</w:t>
      </w:r>
    </w:p>
    <w:p>
      <w:pPr>
        <w:pStyle w:val="Style22"/>
        <w:spacing w:lineRule="auto" w:line="240" w:before="0" w:after="0"/>
        <w:jc w:val="center"/>
        <w:rPr>
          <w:rFonts w:ascii="Times New Roman;serif" w:hAnsi="Times New Roman;serif"/>
          <w:sz w:val="28"/>
        </w:rPr>
      </w:pPr>
      <w:r>
        <w:rPr>
          <w:rFonts w:ascii="Times New Roman;serif" w:hAnsi="Times New Roman;serif"/>
          <w:sz w:val="28"/>
        </w:rPr>
        <w:t>ЖЕРДЕВСКОГО МУНИЦИПАЛЬНОГО ОКРУГА                       ТАМБОВСКОЙ ОБЛАСТИ</w:t>
      </w:r>
    </w:p>
    <w:p>
      <w:pPr>
        <w:pStyle w:val="Style22"/>
        <w:spacing w:lineRule="auto" w:line="240" w:before="0" w:after="0"/>
        <w:ind w:left="0" w:right="0" w:firstLine="709"/>
        <w:jc w:val="center"/>
        <w:rPr>
          <w:rFonts w:ascii="Times New Roman;serif" w:hAnsi="Times New Roman;serif"/>
          <w:sz w:val="28"/>
        </w:rPr>
      </w:pPr>
      <w:r>
        <w:rPr>
          <w:rFonts w:ascii="Times New Roman;serif" w:hAnsi="Times New Roman;serif"/>
          <w:sz w:val="28"/>
        </w:rPr>
      </w:r>
    </w:p>
    <w:p>
      <w:pPr>
        <w:pStyle w:val="Style22"/>
        <w:spacing w:lineRule="auto" w:line="240" w:before="0" w:after="0"/>
        <w:ind w:left="0" w:right="0" w:hanging="0"/>
        <w:jc w:val="center"/>
        <w:rPr>
          <w:rFonts w:ascii="Times New Roman;serif" w:hAnsi="Times New Roman;serif"/>
          <w:sz w:val="28"/>
        </w:rPr>
      </w:pPr>
      <w:r>
        <w:rPr>
          <w:rFonts w:ascii="Times New Roman;serif" w:hAnsi="Times New Roman;serif"/>
          <w:sz w:val="28"/>
        </w:rPr>
        <w:t>РЕШЕНИЕ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sz w:val="28"/>
        </w:rPr>
      </w:pPr>
      <w:r>
        <w:rPr>
          <w:rFonts w:ascii="Times New Roman;serif" w:hAnsi="Times New Roman;serif"/>
          <w:sz w:val="28"/>
        </w:rPr>
      </w:r>
    </w:p>
    <w:p>
      <w:pPr>
        <w:pStyle w:val="Style22"/>
        <w:spacing w:lineRule="auto" w:line="240" w:before="0" w:after="0"/>
        <w:ind w:left="0" w:right="0" w:hanging="0"/>
        <w:jc w:val="center"/>
        <w:rPr>
          <w:rFonts w:ascii="Times New Roman;serif" w:hAnsi="Times New Roman;serif"/>
          <w:sz w:val="28"/>
        </w:rPr>
      </w:pPr>
      <w:r>
        <w:rPr>
          <w:rFonts w:ascii="Times New Roman;serif" w:hAnsi="Times New Roman;serif"/>
          <w:sz w:val="28"/>
        </w:rPr>
        <w:t>г. Жердевка</w:t>
      </w:r>
    </w:p>
    <w:p>
      <w:pPr>
        <w:pStyle w:val="Style22"/>
        <w:spacing w:lineRule="auto" w:line="240" w:before="0" w:after="0"/>
        <w:ind w:left="0" w:right="0" w:firstLine="709"/>
        <w:jc w:val="center"/>
        <w:rPr/>
      </w:pPr>
      <w:r>
        <w:rPr/>
      </w:r>
    </w:p>
    <w:p>
      <w:pPr>
        <w:pStyle w:val="Style22"/>
        <w:widowControl/>
        <w:suppressAutoHyphens w:val="true"/>
        <w:kinsoku w:val="true"/>
        <w:overflowPunct w:val="true"/>
        <w:autoSpaceDE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Fonts w:ascii="Times New Roman;serif" w:hAnsi="Times New Roman;serif"/>
          <w:sz w:val="28"/>
        </w:rPr>
        <w:t xml:space="preserve">О </w:t>
      </w:r>
      <w:r>
        <w:rPr>
          <w:rFonts w:ascii="Times New Roman;serif" w:hAnsi="Times New Roman;serif"/>
          <w:sz w:val="28"/>
        </w:rPr>
        <w:t>внесении изменений в</w:t>
      </w:r>
      <w:r>
        <w:rPr>
          <w:rFonts w:ascii="Times New Roman;serif" w:hAnsi="Times New Roman;serif"/>
          <w:sz w:val="28"/>
        </w:rPr>
        <w:t xml:space="preserve"> Правил</w:t>
      </w:r>
      <w:r>
        <w:rPr>
          <w:rFonts w:ascii="Times New Roman;serif" w:hAnsi="Times New Roman;serif"/>
          <w:sz w:val="28"/>
        </w:rPr>
        <w:t>а</w:t>
      </w:r>
      <w:r>
        <w:rPr>
          <w:rFonts w:ascii="Times New Roman;serif" w:hAnsi="Times New Roman;serif"/>
          <w:sz w:val="28"/>
        </w:rPr>
        <w:t xml:space="preserve"> благоустройства  территории</w:t>
        <w:br/>
        <w:t xml:space="preserve">Жердевского муниципального округа Тамбовской области, </w:t>
      </w:r>
      <w:r>
        <w:rPr>
          <w:rFonts w:ascii="Times New Roman;serif" w:hAnsi="Times New Roman;serif"/>
          <w:sz w:val="28"/>
        </w:rPr>
        <w:t>утвержденные решением Совета депутатов Же</w:t>
      </w:r>
      <w:r>
        <w:rPr>
          <w:rFonts w:ascii="Times New Roman;serif" w:hAnsi="Times New Roman;serif"/>
          <w:sz w:val="28"/>
        </w:rPr>
        <w:t>р</w:t>
      </w:r>
      <w:r>
        <w:rPr>
          <w:rFonts w:ascii="Times New Roman;serif" w:hAnsi="Times New Roman;serif"/>
          <w:sz w:val="28"/>
        </w:rPr>
        <w:t>девского муниципального округа Тамбовской области от 22.05.2024 № 98</w:t>
      </w:r>
    </w:p>
    <w:p>
      <w:pPr>
        <w:pStyle w:val="Style22"/>
        <w:spacing w:lineRule="auto" w:line="240" w:before="0" w:after="0"/>
        <w:ind w:left="0" w:right="0" w:firstLine="709"/>
        <w:jc w:val="both"/>
        <w:rPr/>
      </w:pPr>
      <w:r>
        <w:rPr/>
      </w:r>
    </w:p>
    <w:p>
      <w:pPr>
        <w:pStyle w:val="Style22"/>
        <w:spacing w:lineRule="auto" w:line="240" w:before="0" w:after="0"/>
        <w:ind w:left="0" w:right="0" w:firstLine="709"/>
        <w:jc w:val="both"/>
        <w:rPr/>
      </w:pPr>
      <w:r>
        <w:rPr/>
      </w:r>
    </w:p>
    <w:p>
      <w:pPr>
        <w:pStyle w:val="Style22"/>
        <w:spacing w:lineRule="auto" w:line="240" w:before="0" w:after="0"/>
        <w:ind w:left="0" w:right="0" w:firstLine="709"/>
        <w:jc w:val="both"/>
        <w:rPr/>
      </w:pPr>
      <w:r>
        <w:rPr>
          <w:rFonts w:ascii="Times New Roman;serif" w:hAnsi="Times New Roman;serif"/>
          <w:sz w:val="28"/>
        </w:rPr>
        <w:t xml:space="preserve">В </w:t>
      </w:r>
      <w:r>
        <w:rPr>
          <w:rFonts w:ascii="Times New Roman;serif" w:hAnsi="Times New Roman;serif"/>
          <w:sz w:val="28"/>
        </w:rPr>
        <w:t xml:space="preserve">соответствии с Федеральным законом от 06.10.2003 № 131-ФЗ «Об общих принципах организации местного самоуправления в Российской Федерации», Уставом Жердевского муниципального округа Тамбовской области, учитывая заключение о результатах общественных обсуждений по проекту </w:t>
      </w:r>
      <w:r>
        <w:rPr>
          <w:rFonts w:ascii="Times New Roman;serif" w:hAnsi="Times New Roman;serif"/>
          <w:sz w:val="28"/>
        </w:rPr>
        <w:t xml:space="preserve">внесения </w:t>
      </w:r>
      <w:r>
        <w:rPr>
          <w:rFonts w:ascii="Times New Roman;serif" w:hAnsi="Times New Roman;serif"/>
          <w:sz w:val="28"/>
        </w:rPr>
        <w:t>изменений в Правила благоустройства  территории</w:t>
        <w:br/>
        <w:t xml:space="preserve">Жердевского муниципального округа Тамбовской области, утвержденные решением Совета депутатов </w:t>
      </w:r>
      <w:r>
        <w:rPr>
          <w:rFonts w:ascii="Times New Roman;serif" w:hAnsi="Times New Roman;serif"/>
          <w:sz w:val="28"/>
        </w:rPr>
        <w:t>Жердевского</w:t>
      </w:r>
      <w:r>
        <w:rPr>
          <w:rFonts w:ascii="Times New Roman;serif" w:hAnsi="Times New Roman;serif"/>
          <w:sz w:val="28"/>
        </w:rPr>
        <w:t xml:space="preserve"> муниципального округа Тамбовской области от 22.05.2024 № 98, и заключение постоянной комиссии по вопросам местного самоуправления и депутатской этики,</w:t>
      </w:r>
      <w:r>
        <w:rPr/>
        <w:t xml:space="preserve"> 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>Совет депутатов Жердевского муниципального округа решил: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>1. </w:t>
      </w:r>
      <w:r>
        <w:rPr>
          <w:rFonts w:ascii="Times New Roman;serif" w:hAnsi="Times New Roman;serif"/>
          <w:color w:val="0D0D0D"/>
          <w:sz w:val="28"/>
        </w:rPr>
        <w:t xml:space="preserve">Внести в </w:t>
      </w:r>
      <w:r>
        <w:rPr>
          <w:rFonts w:ascii="Times New Roman;serif" w:hAnsi="Times New Roman;serif"/>
          <w:color w:val="0D0D0D"/>
          <w:sz w:val="28"/>
        </w:rPr>
        <w:t xml:space="preserve">Правила благоустройства территории Жердевского муниципального округа Тамбовской области, утвержденные решением Совета депутатов Жердевского муниципального округа Тамбовской области от 22.05.2024 № 98, </w:t>
      </w:r>
      <w:r>
        <w:rPr>
          <w:rFonts w:ascii="Times New Roman;serif" w:hAnsi="Times New Roman;serif"/>
          <w:color w:val="0D0D0D"/>
          <w:sz w:val="28"/>
        </w:rPr>
        <w:t>следующие изменения: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 xml:space="preserve">В главе </w:t>
      </w:r>
      <w:r>
        <w:rPr>
          <w:rFonts w:ascii="Times New Roman;serif" w:hAnsi="Times New Roman;serif"/>
          <w:color w:val="0D0D0D"/>
          <w:sz w:val="28"/>
        </w:rPr>
        <w:t>2</w:t>
      </w:r>
      <w:r>
        <w:rPr>
          <w:rFonts w:ascii="Times New Roman;serif" w:hAnsi="Times New Roman;serif"/>
          <w:color w:val="0D0D0D"/>
          <w:sz w:val="28"/>
        </w:rPr>
        <w:t>: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 xml:space="preserve">пункт 4 части 1 статьи 18 </w:t>
      </w:r>
      <w:r>
        <w:rPr>
          <w:rFonts w:ascii="Times New Roman;serif" w:hAnsi="Times New Roman;serif"/>
          <w:color w:val="0D0D0D"/>
          <w:sz w:val="28"/>
        </w:rPr>
        <w:t>признать утратившим силу;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 xml:space="preserve">пункт 5 части 1 статьи </w:t>
      </w:r>
      <w:r>
        <w:rPr>
          <w:rFonts w:ascii="Times New Roman;serif" w:hAnsi="Times New Roman;serif"/>
          <w:color w:val="0D0D0D"/>
          <w:sz w:val="28"/>
        </w:rPr>
        <w:t xml:space="preserve">18 </w:t>
      </w:r>
      <w:r>
        <w:rPr>
          <w:rFonts w:ascii="Times New Roman;serif" w:hAnsi="Times New Roman;serif"/>
          <w:color w:val="0D0D0D"/>
          <w:sz w:val="28"/>
        </w:rPr>
        <w:t>признать утратившим силу;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>В главе 3: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>часть 3 статьи 19 изложить в следующей редакции: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>«3. Строительные площадки, места производства ремонтных работ, работ по прокладке и переустройству инженерных сетей и коммуникаций должны быть ограждены. По периметру ограждений должны быть установлены предупредительные надписи и знаки, указатели, сигнальное (аварийное) освещение.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>Ограждения строительных площадок, мест производства ремонтных работ, работ по прокладке и переустройству инженерных сетей и коммуникаций должны соответствовать требованиям СП 48.13330.2019 «СНиП 12-01-2004 Организация строительства», утвержденных приказом Минстроя России от 24.12.2019 № 861/пр.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>К ограждениям строительных площадок, мест производства  ремонтных работ, работ по прокладке и переустройству инженерных сетей и коммуникаций предъявляются следующие требования: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>высота ограждений строительной площадки принимается согласно статье 42 настоящих Правил;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>высота ограждений мест производства ремонтных работ, работ по прокладке и переустройству инженерных сетей и коммуникаций - не менее 1,2 м.»;</w:t>
      </w:r>
    </w:p>
    <w:p>
      <w:pPr>
        <w:pStyle w:val="Style22"/>
        <w:tabs>
          <w:tab w:val="clear" w:pos="720"/>
          <w:tab w:val="left" w:pos="9255" w:leader="none"/>
        </w:tabs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>в главе 7: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>с</w:t>
      </w:r>
      <w:r>
        <w:rPr>
          <w:rFonts w:ascii="Times New Roman;serif" w:hAnsi="Times New Roman;serif"/>
          <w:color w:val="0D0D0D"/>
          <w:sz w:val="28"/>
        </w:rPr>
        <w:t>татью 37 изложить в следующей редакции: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>«</w:t>
      </w:r>
      <w:r>
        <w:rPr>
          <w:rFonts w:ascii="Times New Roman;serif" w:hAnsi="Times New Roman;serif"/>
          <w:color w:val="0D0D0D"/>
          <w:sz w:val="28"/>
        </w:rPr>
        <w:t xml:space="preserve">Статья 37. </w:t>
      </w:r>
      <w:r>
        <w:rPr>
          <w:rFonts w:ascii="Times New Roman;serif" w:hAnsi="Times New Roman;serif"/>
          <w:color w:val="0D0D0D"/>
          <w:sz w:val="28"/>
        </w:rPr>
        <w:t> 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>П</w:t>
      </w:r>
      <w:r>
        <w:rPr>
          <w:rFonts w:ascii="Times New Roman;serif" w:hAnsi="Times New Roman;serif"/>
          <w:color w:val="0D0D0D"/>
          <w:sz w:val="28"/>
        </w:rPr>
        <w:t>роведени</w:t>
      </w:r>
      <w:r>
        <w:rPr>
          <w:rFonts w:ascii="Times New Roman;serif" w:hAnsi="Times New Roman;serif"/>
          <w:color w:val="0D0D0D"/>
          <w:sz w:val="28"/>
        </w:rPr>
        <w:t>е</w:t>
      </w:r>
      <w:r>
        <w:rPr>
          <w:rFonts w:ascii="Times New Roman;serif" w:hAnsi="Times New Roman;serif"/>
          <w:color w:val="0D0D0D"/>
          <w:sz w:val="28"/>
        </w:rPr>
        <w:t xml:space="preserve"> земляных работ на территории Жердевского муниципального округа Тамбовской области </w:t>
      </w:r>
      <w:r>
        <w:rPr>
          <w:rFonts w:ascii="Times New Roman;serif" w:hAnsi="Times New Roman;serif"/>
          <w:color w:val="0D0D0D"/>
          <w:sz w:val="28"/>
        </w:rPr>
        <w:t>осуществляется в порядке, установленном Советом депутатов Жердевского муниципального округа.»;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>статьи 38 - 40 признать утратившими силу.</w:t>
      </w:r>
    </w:p>
    <w:p>
      <w:pPr>
        <w:pStyle w:val="Style22"/>
        <w:spacing w:lineRule="auto" w:line="240" w:before="0" w:after="0"/>
        <w:ind w:left="0" w:right="0" w:firstLine="709"/>
        <w:jc w:val="both"/>
        <w:rPr/>
      </w:pPr>
      <w:r>
        <w:rPr>
          <w:rFonts w:ascii="Times New Roman;serif" w:hAnsi="Times New Roman;serif"/>
          <w:color w:val="0D0D0D"/>
          <w:sz w:val="28"/>
        </w:rPr>
        <w:t>2. Опубликовать настоящее решение в газете «Жердевские новости» и разместить в сетевом издании «РИА «ТОП68» (</w:t>
      </w:r>
      <w:r>
        <w:rPr>
          <w:rFonts w:ascii="Times New Roman;serif" w:hAnsi="Times New Roman;serif"/>
          <w:color w:val="0D0D0D"/>
          <w:sz w:val="28"/>
          <w:lang w:val="en-US"/>
        </w:rPr>
        <w:t>www</w:t>
      </w:r>
      <w:r>
        <w:rPr>
          <w:rFonts w:ascii="Times New Roman;serif" w:hAnsi="Times New Roman;serif"/>
          <w:color w:val="0D0D0D"/>
          <w:sz w:val="28"/>
        </w:rPr>
        <w:t>.</w:t>
      </w:r>
      <w:r>
        <w:rPr>
          <w:rFonts w:ascii="Times New Roman;serif" w:hAnsi="Times New Roman;serif"/>
          <w:color w:val="0D0D0D"/>
          <w:sz w:val="28"/>
          <w:lang w:val="en-US"/>
        </w:rPr>
        <w:t>top</w:t>
      </w:r>
      <w:r>
        <w:rPr>
          <w:rFonts w:ascii="Times New Roman;serif" w:hAnsi="Times New Roman;serif"/>
          <w:color w:val="0D0D0D"/>
          <w:sz w:val="28"/>
        </w:rPr>
        <w:t>68.</w:t>
      </w:r>
      <w:r>
        <w:rPr>
          <w:rFonts w:ascii="Times New Roman;serif" w:hAnsi="Times New Roman;serif"/>
          <w:color w:val="0D0D0D"/>
          <w:sz w:val="28"/>
          <w:lang w:val="en-US"/>
        </w:rPr>
        <w:t>ru</w:t>
      </w:r>
      <w:r>
        <w:rPr>
          <w:rFonts w:ascii="Times New Roman;serif" w:hAnsi="Times New Roman;serif"/>
          <w:color w:val="0D0D0D"/>
          <w:sz w:val="28"/>
        </w:rPr>
        <w:t>).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color w:val="0D0D0D"/>
        </w:rPr>
      </w:pPr>
      <w:r>
        <w:rPr>
          <w:rFonts w:ascii="Times New Roman;serif" w:hAnsi="Times New Roman;serif"/>
          <w:color w:val="0D0D0D"/>
          <w:sz w:val="28"/>
        </w:rPr>
        <w:t xml:space="preserve">3. Настоящее решение вступает в силу с 1 </w:t>
      </w:r>
      <w:r>
        <w:rPr>
          <w:rFonts w:ascii="Times New Roman;serif" w:hAnsi="Times New Roman;serif"/>
          <w:color w:val="0D0D0D"/>
          <w:sz w:val="28"/>
        </w:rPr>
        <w:t>марта</w:t>
      </w:r>
      <w:r>
        <w:rPr>
          <w:rFonts w:ascii="Times New Roman;serif" w:hAnsi="Times New Roman;serif"/>
          <w:color w:val="0D0D0D"/>
          <w:sz w:val="28"/>
        </w:rPr>
        <w:t xml:space="preserve"> 202</w:t>
      </w:r>
      <w:r>
        <w:rPr>
          <w:rFonts w:ascii="Times New Roman;serif" w:hAnsi="Times New Roman;serif"/>
          <w:color w:val="0D0D0D"/>
          <w:sz w:val="28"/>
        </w:rPr>
        <w:t>5</w:t>
      </w:r>
      <w:r>
        <w:rPr>
          <w:rFonts w:ascii="Times New Roman;serif" w:hAnsi="Times New Roman;serif"/>
          <w:color w:val="0D0D0D"/>
          <w:sz w:val="28"/>
        </w:rPr>
        <w:t xml:space="preserve"> года, но не ранее чем по истечении девяноста дней после дня его официального опубликования.</w:t>
      </w:r>
    </w:p>
    <w:p>
      <w:pPr>
        <w:pStyle w:val="Style22"/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</w:r>
    </w:p>
    <w:p>
      <w:pPr>
        <w:pStyle w:val="Style22"/>
        <w:spacing w:lineRule="auto" w:line="240" w:before="0" w:after="0"/>
        <w:ind w:left="0" w:right="0" w:hanging="0"/>
        <w:jc w:val="both"/>
        <w:rPr>
          <w:rFonts w:ascii="Times New Roman;serif" w:hAnsi="Times New Roman;serif"/>
          <w:color w:val="0D0D0D"/>
          <w:sz w:val="28"/>
          <w:szCs w:val="28"/>
        </w:rPr>
      </w:pPr>
      <w:r>
        <w:rPr>
          <w:rFonts w:ascii="Times New Roman;serif" w:hAnsi="Times New Roman;serif"/>
          <w:color w:val="0D0D0D"/>
          <w:sz w:val="28"/>
          <w:szCs w:val="28"/>
        </w:rPr>
      </w:r>
    </w:p>
    <w:p>
      <w:pPr>
        <w:pStyle w:val="Style22"/>
        <w:spacing w:lineRule="auto" w:line="240" w:before="0" w:after="0"/>
        <w:ind w:left="0" w:right="0" w:hanging="0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>Глава Жердевского                                            Председатель Совета депутатов муниципального округа                           Жердевского муниципального округа</w:t>
      </w:r>
    </w:p>
    <w:p>
      <w:pPr>
        <w:pStyle w:val="Style22"/>
        <w:spacing w:lineRule="auto" w:line="240" w:before="0" w:after="0"/>
        <w:ind w:left="0" w:right="0" w:hanging="0"/>
        <w:jc w:val="both"/>
        <w:rPr>
          <w:rFonts w:ascii="Times New Roman;serif" w:hAnsi="Times New Roman;serif"/>
          <w:color w:val="0D0D0D"/>
          <w:sz w:val="28"/>
        </w:rPr>
      </w:pPr>
      <w:r>
        <w:rPr>
          <w:rFonts w:ascii="Times New Roman;serif" w:hAnsi="Times New Roman;serif"/>
          <w:color w:val="0D0D0D"/>
          <w:sz w:val="28"/>
        </w:rPr>
        <w:t>_________________А.В. Быков                              ______________ С.В.Саблин</w:t>
      </w:r>
    </w:p>
    <w:p>
      <w:pPr>
        <w:pStyle w:val="Normal"/>
        <w:spacing w:lineRule="auto" w:line="240" w:before="0" w:after="0"/>
        <w:ind w:left="5529" w:right="0" w:hanging="0"/>
        <w:jc w:val="right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</w:r>
    </w:p>
    <w:p>
      <w:pPr>
        <w:pStyle w:val="Normal"/>
        <w:spacing w:lineRule="auto" w:line="240" w:before="0" w:after="0"/>
        <w:ind w:left="5529" w:right="0" w:hanging="0"/>
        <w:jc w:val="right"/>
        <w:rPr>
          <w:rFonts w:ascii="Times New Roman" w:hAnsi="Times New Roman" w:cs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  <w:bookmarkStart w:id="0" w:name="Par1651"/>
      <w:bookmarkStart w:id="1" w:name="Par1581"/>
      <w:bookmarkStart w:id="2" w:name="Par871"/>
      <w:bookmarkStart w:id="3" w:name="Par861"/>
      <w:bookmarkStart w:id="4" w:name="Par311"/>
      <w:bookmarkStart w:id="5" w:name="Par301"/>
      <w:bookmarkStart w:id="6" w:name="Par291"/>
      <w:bookmarkStart w:id="7" w:name="Par271"/>
      <w:bookmarkStart w:id="8" w:name="Par261"/>
      <w:bookmarkStart w:id="9" w:name="Par231"/>
      <w:bookmarkStart w:id="10" w:name="Par165"/>
      <w:bookmarkStart w:id="11" w:name="Par158"/>
      <w:bookmarkStart w:id="12" w:name="Par87"/>
      <w:bookmarkStart w:id="13" w:name="Par86"/>
      <w:bookmarkStart w:id="14" w:name="Par31"/>
      <w:bookmarkStart w:id="15" w:name="Par30"/>
      <w:bookmarkStart w:id="16" w:name="Par29"/>
      <w:bookmarkStart w:id="17" w:name="Par27"/>
      <w:bookmarkStart w:id="18" w:name="Par26"/>
      <w:bookmarkStart w:id="19" w:name="Par23"/>
      <w:bookmarkStart w:id="20" w:name="Par1651"/>
      <w:bookmarkStart w:id="21" w:name="Par1581"/>
      <w:bookmarkStart w:id="22" w:name="Par871"/>
      <w:bookmarkStart w:id="23" w:name="Par861"/>
      <w:bookmarkStart w:id="24" w:name="Par311"/>
      <w:bookmarkStart w:id="25" w:name="Par301"/>
      <w:bookmarkStart w:id="26" w:name="Par291"/>
      <w:bookmarkStart w:id="27" w:name="Par271"/>
      <w:bookmarkStart w:id="28" w:name="Par261"/>
      <w:bookmarkStart w:id="29" w:name="Par231"/>
      <w:bookmarkStart w:id="30" w:name="Par165"/>
      <w:bookmarkStart w:id="31" w:name="Par158"/>
      <w:bookmarkStart w:id="32" w:name="Par87"/>
      <w:bookmarkStart w:id="33" w:name="Par86"/>
      <w:bookmarkStart w:id="34" w:name="Par31"/>
      <w:bookmarkStart w:id="35" w:name="Par30"/>
      <w:bookmarkStart w:id="36" w:name="Par29"/>
      <w:bookmarkStart w:id="37" w:name="Par27"/>
      <w:bookmarkStart w:id="38" w:name="Par26"/>
      <w:bookmarkStart w:id="39" w:name="Par23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sectPr>
      <w:headerReference w:type="default" r:id="rId2"/>
      <w:type w:val="nextPage"/>
      <w:pgSz w:w="11906" w:h="16838"/>
      <w:pgMar w:left="1701" w:right="851" w:header="567" w:top="1134" w:footer="720" w:bottom="99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swiss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Times New Roman">
    <w:altName w:val="serif"/>
    <w:charset w:val="cc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spacing w:before="0" w:after="200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Times New Roman" w:hAnsi="Times New Roman" w:cs="Times New Roman"/>
      <w:b w:val="false"/>
      <w:sz w:val="28"/>
      <w:szCs w:val="28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color w:val="FFFFFF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sz w:val="28"/>
      <w:szCs w:val="28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Times New Roman" w:hAnsi="Times New Roman" w:cs="Times New Roman"/>
      <w:sz w:val="28"/>
      <w:szCs w:val="28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>
      <w:rFonts w:ascii="Times New Roman" w:hAnsi="Times New Roman" w:cs="Times New Roman"/>
      <w:b w:val="false"/>
      <w:color w:val="FFFFFF"/>
      <w:sz w:val="28"/>
      <w:szCs w:val="28"/>
    </w:rPr>
  </w:style>
  <w:style w:type="character" w:styleId="WW8Num12z1">
    <w:name w:val="WW8Num12z1"/>
    <w:qFormat/>
    <w:rPr>
      <w:rFonts w:ascii="Times New Roman" w:hAnsi="Times New Roman" w:cs="Times New Roman"/>
      <w:sz w:val="28"/>
      <w:szCs w:val="28"/>
    </w:rPr>
  </w:style>
  <w:style w:type="character" w:styleId="WW8Num12z2">
    <w:name w:val="WW8Num12z2"/>
    <w:qFormat/>
    <w:rPr>
      <w:rFonts w:ascii="Times New Roman" w:hAnsi="Times New Roman" w:cs="Times New Roman"/>
      <w:sz w:val="28"/>
      <w:szCs w:val="28"/>
    </w:rPr>
  </w:style>
  <w:style w:type="character" w:styleId="WW8Num12z3">
    <w:name w:val="WW8Num12z3"/>
    <w:qFormat/>
    <w:rPr>
      <w:rFonts w:ascii="Times New Roman" w:hAnsi="Times New Roman" w:cs="Times New Roman"/>
      <w:sz w:val="28"/>
      <w:szCs w:val="28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Times New Roman" w:hAnsi="Times New Roman" w:cs="Times New Roman"/>
      <w:sz w:val="28"/>
      <w:szCs w:val="28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Times New Roman" w:hAnsi="Times New Roman" w:cs="Times New Roman"/>
      <w:sz w:val="28"/>
      <w:szCs w:val="28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rFonts w:ascii="Times New Roman" w:hAnsi="Times New Roman" w:cs="Times New Roman"/>
      <w:sz w:val="28"/>
      <w:szCs w:val="28"/>
    </w:rPr>
  </w:style>
  <w:style w:type="character" w:styleId="WW8Num22z0">
    <w:name w:val="WW8Num22z0"/>
    <w:qFormat/>
    <w:rPr/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ascii="Times New Roman" w:hAnsi="Times New Roman" w:cs="Times New Roman"/>
      <w:sz w:val="28"/>
      <w:szCs w:val="28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>
      <w:color w:val="FFFFFF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Times New Roman" w:hAnsi="Times New Roman" w:cs="Times New Roman"/>
      <w:sz w:val="28"/>
      <w:szCs w:val="28"/>
    </w:rPr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color w:val="FFFFFF"/>
    </w:rPr>
  </w:style>
  <w:style w:type="character" w:styleId="WW8Num33z1">
    <w:name w:val="WW8Num33z1"/>
    <w:qFormat/>
    <w:rPr>
      <w:rFonts w:ascii="Times New Roman" w:hAnsi="Times New Roman" w:cs="Times New Roman"/>
    </w:rPr>
  </w:style>
  <w:style w:type="character" w:styleId="WW8Num33z2">
    <w:name w:val="WW8Num33z2"/>
    <w:qFormat/>
    <w:rPr>
      <w:rFonts w:ascii="Times New Roman" w:hAnsi="Times New Roman" w:cs="Times New Roman"/>
      <w:sz w:val="28"/>
      <w:szCs w:val="28"/>
    </w:rPr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Times New Roman" w:hAnsi="Times New Roman" w:cs="Times New Roman"/>
      <w:sz w:val="28"/>
      <w:szCs w:val="28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4z3">
    <w:name w:val="WW8Num34z3"/>
    <w:qFormat/>
    <w:rPr>
      <w:rFonts w:ascii="Symbol" w:hAnsi="Symbol" w:cs="Symbol"/>
    </w:rPr>
  </w:style>
  <w:style w:type="character" w:styleId="WW8Num35z0">
    <w:name w:val="WW8Num35z0"/>
    <w:qFormat/>
    <w:rPr>
      <w:color w:val="FFFFFF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Times New Roman" w:hAnsi="Times New Roman" w:cs="Times New Roman"/>
      <w:sz w:val="28"/>
      <w:szCs w:val="28"/>
    </w:rPr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color w:val="FFFFFF"/>
    </w:rPr>
  </w:style>
  <w:style w:type="character" w:styleId="WW8Num36z1">
    <w:name w:val="WW8Num36z1"/>
    <w:qFormat/>
    <w:rPr/>
  </w:style>
  <w:style w:type="character" w:styleId="WW8Num36z2">
    <w:name w:val="WW8Num36z2"/>
    <w:qFormat/>
    <w:rPr>
      <w:rFonts w:ascii="Times New Roman" w:hAnsi="Times New Roman" w:cs="Times New Roman"/>
      <w:sz w:val="28"/>
      <w:szCs w:val="28"/>
    </w:rPr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>
      <w:color w:val="FFFFFF"/>
    </w:rPr>
  </w:style>
  <w:style w:type="character" w:styleId="WW8Num39z1">
    <w:name w:val="WW8Num39z1"/>
    <w:qFormat/>
    <w:rPr/>
  </w:style>
  <w:style w:type="character" w:styleId="WW8Num39z2">
    <w:name w:val="WW8Num39z2"/>
    <w:qFormat/>
    <w:rPr>
      <w:rFonts w:ascii="Times New Roman" w:hAnsi="Times New Roman" w:cs="Times New Roman"/>
      <w:sz w:val="28"/>
      <w:szCs w:val="28"/>
    </w:rPr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>
      <w:rFonts w:ascii="Times New Roman" w:hAnsi="Times New Roman" w:cs="Times New Roman"/>
    </w:rPr>
  </w:style>
  <w:style w:type="character" w:styleId="WW8Num40z1">
    <w:name w:val="WW8Num40z1"/>
    <w:qFormat/>
    <w:rPr>
      <w:rFonts w:ascii="Courier New" w:hAnsi="Courier New" w:cs="Courier New"/>
    </w:rPr>
  </w:style>
  <w:style w:type="character" w:styleId="WW8Num40z2">
    <w:name w:val="WW8Num40z2"/>
    <w:qFormat/>
    <w:rPr>
      <w:rFonts w:ascii="Wingdings" w:hAnsi="Wingdings" w:cs="Wingdings"/>
    </w:rPr>
  </w:style>
  <w:style w:type="character" w:styleId="WW8Num40z3">
    <w:name w:val="WW8Num40z3"/>
    <w:qFormat/>
    <w:rPr>
      <w:rFonts w:ascii="Symbol" w:hAnsi="Symbol" w:cs="Symbol"/>
    </w:rPr>
  </w:style>
  <w:style w:type="character" w:styleId="WW8Num41z0">
    <w:name w:val="WW8Num41z0"/>
    <w:qFormat/>
    <w:rPr/>
  </w:style>
  <w:style w:type="character" w:styleId="WW8Num41z1">
    <w:name w:val="WW8Num41z1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>
      <w:rFonts w:ascii="Times New Roman" w:hAnsi="Times New Roman" w:cs="Times New Roman"/>
    </w:rPr>
  </w:style>
  <w:style w:type="character" w:styleId="WW8Num42z1">
    <w:name w:val="WW8Num42z1"/>
    <w:qFormat/>
    <w:rPr>
      <w:rFonts w:ascii="Courier New" w:hAnsi="Courier New" w:cs="Courier New"/>
    </w:rPr>
  </w:style>
  <w:style w:type="character" w:styleId="WW8Num42z2">
    <w:name w:val="WW8Num42z2"/>
    <w:qFormat/>
    <w:rPr>
      <w:rFonts w:ascii="Wingdings" w:hAnsi="Wingdings" w:cs="Wingdings"/>
    </w:rPr>
  </w:style>
  <w:style w:type="character" w:styleId="WW8Num42z3">
    <w:name w:val="WW8Num42z3"/>
    <w:qFormat/>
    <w:rPr>
      <w:rFonts w:ascii="Symbol" w:hAnsi="Symbol" w:cs="Symbol"/>
    </w:rPr>
  </w:style>
  <w:style w:type="character" w:styleId="Style13">
    <w:name w:val="Основной шрифт абзаца"/>
    <w:qFormat/>
    <w:rPr/>
  </w:style>
  <w:style w:type="character" w:styleId="Style14">
    <w:name w:val="Название книги"/>
    <w:qFormat/>
    <w:rPr>
      <w:b/>
      <w:bCs/>
      <w:smallCaps/>
      <w:spacing w:val="5"/>
    </w:rPr>
  </w:style>
  <w:style w:type="character" w:styleId="1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5">
    <w:name w:val="Подзаголовок Знак"/>
    <w:qFormat/>
    <w:rPr>
      <w:rFonts w:ascii="Cambria" w:hAnsi="Cambria" w:eastAsia="Times New Roman" w:cs="Times New Roman"/>
      <w:sz w:val="24"/>
      <w:szCs w:val="24"/>
    </w:rPr>
  </w:style>
  <w:style w:type="character" w:styleId="Style16">
    <w:name w:val="Цветовое выделение"/>
    <w:qFormat/>
    <w:rPr>
      <w:b/>
      <w:bCs/>
      <w:color w:val="26282F"/>
    </w:rPr>
  </w:style>
  <w:style w:type="character" w:styleId="Style17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8">
    <w:name w:val="Верхний колонтитул Знак"/>
    <w:qFormat/>
    <w:rPr>
      <w:sz w:val="22"/>
      <w:szCs w:val="22"/>
    </w:rPr>
  </w:style>
  <w:style w:type="character" w:styleId="Style19">
    <w:name w:val="Нижний колонтитул Знак"/>
    <w:qFormat/>
    <w:rPr>
      <w:sz w:val="22"/>
      <w:szCs w:val="22"/>
    </w:rPr>
  </w:style>
  <w:style w:type="character" w:styleId="Style20">
    <w:name w:val="Интернет-ссылка"/>
    <w:rPr>
      <w:color w:val="000080"/>
      <w:u w:val="single"/>
      <w:lang w:val="zxx" w:eastAsia="zxx" w:bidi="zxx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Mang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Mangal"/>
    </w:rPr>
  </w:style>
  <w:style w:type="paragraph" w:styleId="Style26">
    <w:name w:val="Абзац списка"/>
    <w:basedOn w:val="Normal"/>
    <w:qFormat/>
    <w:pPr>
      <w:ind w:left="708" w:right="0" w:hanging="0"/>
    </w:pPr>
    <w:rPr/>
  </w:style>
  <w:style w:type="paragraph" w:styleId="Style27">
    <w:name w:val="Subtitle"/>
    <w:basedOn w:val="Normal"/>
    <w:next w:val="Normal"/>
    <w:qFormat/>
    <w:pPr>
      <w:numPr>
        <w:ilvl w:val="0"/>
        <w:numId w:val="0"/>
      </w:numPr>
      <w:spacing w:before="0" w:after="60"/>
      <w:ind w:left="0" w:right="0" w:hanging="0"/>
      <w:jc w:val="center"/>
    </w:pPr>
    <w:rPr>
      <w:rFonts w:ascii="Cambria" w:hAnsi="Cambria" w:eastAsia="Times New Roman" w:cs="Times New Roman"/>
      <w:sz w:val="24"/>
      <w:szCs w:val="24"/>
    </w:rPr>
  </w:style>
  <w:style w:type="paragraph" w:styleId="Style28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9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30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31">
    <w:name w:val="Содержимое таблицы"/>
    <w:basedOn w:val="Normal"/>
    <w:qFormat/>
    <w:pPr>
      <w:widowControl w:val="false"/>
      <w:suppressLineNumbers/>
    </w:pPr>
    <w:rPr/>
  </w:style>
  <w:style w:type="paragraph" w:styleId="Style32">
    <w:name w:val="Заголовок таблицы"/>
    <w:basedOn w:val="Style31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32823</TotalTime>
  <Application>LibreOffice/6.2.0.3$Windows_x86 LibreOffice_project/98c6a8a1c6c7b144ce3cc729e34964b47ce25d62</Application>
  <Pages>2</Pages>
  <Words>374</Words>
  <CharactersWithSpaces>3171</CharactersWithSpaces>
  <Paragraphs>28</Paragraphs>
  <Company>КонсультантПлюс Версия 4023.00.50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2024-01-15T15:35:00Z</dcterms:created>
  <dc:creator>user</dc:creator>
  <dc:description/>
  <dc:language>ru-RU</dc:language>
  <cp:lastModifiedBy/>
  <cp:lastPrinted>2024-05-22T16:35:12Z</cp:lastPrinted>
  <dcterms:modified xsi:type="dcterms:W3CDTF">2024-10-11T08:52:09Z</dcterms:modified>
  <cp:revision>46</cp:revision>
  <dc:subject/>
  <dc:title>Решение Тамбовской городской Думы Тамбовской области от 09.03.2021 N 139(ред. от 30.11.2022)"О Правилах благоустройства территории городского округа - город Тамбов и признании утратившими силу отдельных решений Тамбовской городской Думы Тамбовской области"(с изм. и доп., вступающими в силу с 01.03.2023)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4023.00.50</vt:lpwstr>
  </property>
</Properties>
</file>