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TML"/>
        <w:jc w:val="center"/>
        <w:rPr/>
      </w:pPr>
      <w:r>
        <w:rPr>
          <w:rFonts w:cs="Times New Roman" w:ascii="Times New Roman" w:hAnsi="Times New Roman"/>
          <w:sz w:val="24"/>
          <w:szCs w:val="24"/>
        </w:rPr>
        <w:t>Сводный отчет проекта муниципального нормативного правового акта</w:t>
      </w:r>
      <w:r>
        <w:rPr>
          <w:rStyle w:val="Style15"/>
          <w:rStyle w:val="Style15"/>
          <w:rFonts w:cs="Times New Roman" w:ascii="Times New Roman" w:hAnsi="Times New Roman"/>
          <w:sz w:val="24"/>
          <w:szCs w:val="24"/>
        </w:rPr>
        <w:footnoteReference w:id="2"/>
      </w:r>
    </w:p>
    <w:p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HTML"/>
        <w:ind w:left="0" w:right="0" w:firstLine="709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1. Разработчик проекта муниципального нормативного правового акта: </w:t>
      </w:r>
      <w:r>
        <w:rPr>
          <w:rFonts w:cs="Times New Roman" w:ascii="Times New Roman" w:hAnsi="Times New Roman"/>
          <w:sz w:val="24"/>
          <w:szCs w:val="24"/>
          <w:u w:val="single"/>
          <w:lang w:val="ru-RU"/>
        </w:rPr>
        <w:t>Управление жилищно-коммунального хозяйства, строительства, архитектуры и благоустройства территорий администрации Жердевского муниципального округа Тамбовской области (Управление ЖКХ, архитектуры, строительства и благоустройства территорий администрации Жердевского муниципального округа)</w:t>
      </w:r>
    </w:p>
    <w:p>
      <w:pPr>
        <w:pStyle w:val="HTML"/>
        <w:ind w:left="0" w:right="0" w:firstLine="709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2. Вид и наименование проекта муниципального нормативного правового акта Жердевского муниципального округа (далее – муниципальный акт) </w:t>
      </w:r>
    </w:p>
    <w:p>
      <w:pPr>
        <w:pStyle w:val="HTML"/>
        <w:ind w:left="0" w:right="0" w:firstLine="709"/>
        <w:jc w:val="both"/>
        <w:rPr/>
      </w:pPr>
      <w:r>
        <w:rPr>
          <w:rFonts w:cs="Times New Roman" w:ascii="Times New Roman" w:hAnsi="Times New Roman"/>
          <w:sz w:val="24"/>
          <w:szCs w:val="24"/>
          <w:u w:val="single"/>
          <w:lang w:val="ru-RU"/>
        </w:rPr>
        <w:t>Проект решения Совета депутатов Жердевского муниципального округа Тамбовской области «</w:t>
      </w:r>
      <w:r>
        <w:rPr>
          <w:rFonts w:cs="Times New Roman" w:ascii="Times New Roman" w:hAnsi="Times New Roman"/>
          <w:sz w:val="24"/>
          <w:szCs w:val="24"/>
          <w:u w:val="single"/>
          <w:lang w:val="ru-RU"/>
        </w:rPr>
        <w:t xml:space="preserve">Об утверждении Положения об </w:t>
      </w:r>
      <w:r>
        <w:rPr>
          <w:rFonts w:cs="Times New Roman" w:ascii="Times New Roman" w:hAnsi="Times New Roman"/>
          <w:sz w:val="24"/>
          <w:szCs w:val="24"/>
          <w:u w:val="single"/>
          <w:lang w:val="ru-RU"/>
        </w:rPr>
        <w:t>организации ритуальных услуг и содержания мест захоронения на территории Жердевского муниципального округа Тамбовской области»</w:t>
      </w:r>
    </w:p>
    <w:p>
      <w:pPr>
        <w:pStyle w:val="HTML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Контактная информация исполнителя разработчика:</w:t>
      </w:r>
    </w:p>
    <w:p>
      <w:pPr>
        <w:pStyle w:val="Normal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u w:val="single"/>
          <w:lang w:val="ru-RU"/>
        </w:rPr>
        <w:t>Чихачёва Елена Викторовна</w:t>
      </w:r>
    </w:p>
    <w:p>
      <w:pPr>
        <w:pStyle w:val="HTML"/>
        <w:ind w:left="0" w:right="0" w:firstLine="709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Должность: </w:t>
      </w:r>
      <w:r>
        <w:rPr>
          <w:rFonts w:cs="Times New Roman" w:ascii="Times New Roman" w:hAnsi="Times New Roman"/>
          <w:sz w:val="24"/>
          <w:szCs w:val="24"/>
          <w:u w:val="single"/>
          <w:lang w:val="ru-RU"/>
        </w:rPr>
        <w:t>юрисконсульт</w:t>
      </w:r>
    </w:p>
    <w:p>
      <w:pPr>
        <w:pStyle w:val="HTML"/>
        <w:ind w:left="0" w:right="0" w:firstLine="709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Тел.: </w:t>
      </w:r>
      <w:r>
        <w:rPr>
          <w:rFonts w:cs="Times New Roman" w:ascii="Times New Roman" w:hAnsi="Times New Roman"/>
          <w:sz w:val="24"/>
          <w:szCs w:val="24"/>
          <w:u w:val="single"/>
          <w:lang w:val="ru-RU"/>
        </w:rPr>
        <w:t>8 (47535) 5-18-50</w:t>
      </w:r>
    </w:p>
    <w:p>
      <w:pPr>
        <w:pStyle w:val="HTML"/>
        <w:ind w:left="0" w:right="0" w:firstLine="709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Адрес электронной почты: </w:t>
      </w:r>
      <w:r>
        <w:rPr>
          <w:rFonts w:cs="Times New Roman" w:ascii="Times New Roman" w:hAnsi="Times New Roman"/>
          <w:sz w:val="24"/>
          <w:szCs w:val="24"/>
          <w:u w:val="single"/>
          <w:lang w:val="en-US"/>
        </w:rPr>
        <w:t>sovet@r35.tambov.gov.ru</w:t>
      </w:r>
    </w:p>
    <w:p>
      <w:pPr>
        <w:pStyle w:val="HTML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3. </w:t>
      </w:r>
      <w:r>
        <w:rPr>
          <w:rFonts w:cs="Times New Roman" w:ascii="Times New Roman" w:hAnsi="Times New Roman"/>
          <w:sz w:val="24"/>
          <w:szCs w:val="24"/>
        </w:rPr>
        <w:t>Обязательные сведения о проекте муниципального акта:</w:t>
      </w:r>
    </w:p>
    <w:p>
      <w:pPr>
        <w:pStyle w:val="HTML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3.1. степень регулирующего воздействия проекта муниципального акта: </w:t>
      </w:r>
      <w:r>
        <w:rPr>
          <w:rFonts w:cs="Times New Roman" w:ascii="Times New Roman" w:hAnsi="Times New Roman"/>
          <w:sz w:val="24"/>
          <w:szCs w:val="24"/>
          <w:u w:val="single"/>
          <w:lang w:val="ru-RU"/>
        </w:rPr>
        <w:t>средняя</w:t>
      </w:r>
    </w:p>
    <w:p>
      <w:pPr>
        <w:pStyle w:val="HTML"/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3.2. описание проблемы, на решение которой направлен предлагаемый способ регулирования, оценка негативных эффектов, возникающих в связи с наличием рассматриваемой проблемы:</w:t>
      </w:r>
    </w:p>
    <w:p>
      <w:pPr>
        <w:pStyle w:val="HTML"/>
        <w:ind w:left="0" w:right="0" w:firstLine="709"/>
        <w:jc w:val="both"/>
        <w:rPr/>
      </w:pPr>
      <w:r>
        <w:rPr>
          <w:rFonts w:cs="Times New Roman" w:ascii="Times New Roman" w:hAnsi="Times New Roman"/>
          <w:sz w:val="24"/>
          <w:szCs w:val="24"/>
          <w:u w:val="single"/>
          <w:lang w:val="ru-RU"/>
        </w:rPr>
        <w:t xml:space="preserve">отсутствие единого </w:t>
      </w:r>
      <w:r>
        <w:rPr>
          <w:rFonts w:cs="Times New Roman" w:ascii="Times New Roman" w:hAnsi="Times New Roman"/>
          <w:sz w:val="24"/>
          <w:szCs w:val="24"/>
          <w:u w:val="single"/>
          <w:lang w:val="ru-RU"/>
        </w:rPr>
        <w:t>правового акта, регулирующего</w:t>
      </w:r>
      <w:r>
        <w:rPr>
          <w:rFonts w:cs="Times New Roman" w:ascii="Times New Roman" w:hAnsi="Times New Roman"/>
          <w:sz w:val="24"/>
          <w:szCs w:val="24"/>
          <w:u w:val="single"/>
        </w:rPr>
        <w:t xml:space="preserve"> </w:t>
      </w:r>
      <w:r>
        <w:rPr>
          <w:rFonts w:cs="Times New Roman" w:ascii="Times New Roman" w:hAnsi="Times New Roman"/>
          <w:sz w:val="24"/>
          <w:szCs w:val="24"/>
          <w:u w:val="single"/>
        </w:rPr>
        <w:t>о</w:t>
      </w:r>
      <w:r>
        <w:rPr>
          <w:rFonts w:cs="Times New Roman" w:ascii="Times New Roman" w:hAnsi="Times New Roman"/>
          <w:sz w:val="24"/>
          <w:szCs w:val="24"/>
          <w:u w:val="single"/>
        </w:rPr>
        <w:t>рганизаци</w:t>
      </w:r>
      <w:r>
        <w:rPr>
          <w:rFonts w:cs="Times New Roman" w:ascii="Times New Roman" w:hAnsi="Times New Roman"/>
          <w:sz w:val="24"/>
          <w:szCs w:val="24"/>
          <w:u w:val="single"/>
        </w:rPr>
        <w:t>ю</w:t>
      </w:r>
      <w:r>
        <w:rPr>
          <w:rFonts w:cs="Times New Roman" w:ascii="Times New Roman" w:hAnsi="Times New Roman"/>
          <w:sz w:val="24"/>
          <w:szCs w:val="24"/>
          <w:u w:val="single"/>
        </w:rPr>
        <w:t xml:space="preserve"> ритуальных услуг и содержани</w:t>
      </w:r>
      <w:r>
        <w:rPr>
          <w:rFonts w:cs="Times New Roman" w:ascii="Times New Roman" w:hAnsi="Times New Roman"/>
          <w:sz w:val="24"/>
          <w:szCs w:val="24"/>
          <w:u w:val="single"/>
        </w:rPr>
        <w:t>е</w:t>
      </w:r>
      <w:r>
        <w:rPr>
          <w:rFonts w:cs="Times New Roman" w:ascii="Times New Roman" w:hAnsi="Times New Roman"/>
          <w:sz w:val="24"/>
          <w:szCs w:val="24"/>
          <w:u w:val="single"/>
        </w:rPr>
        <w:t xml:space="preserve"> мест захоронения на территории Жердевского муниципального округа Тамбовской области. </w:t>
      </w:r>
      <w:r>
        <w:rPr>
          <w:rFonts w:cs="Times New Roman" w:ascii="Times New Roman" w:hAnsi="Times New Roman"/>
          <w:sz w:val="24"/>
          <w:szCs w:val="24"/>
          <w:u w:val="single"/>
          <w:lang w:val="ru-RU"/>
        </w:rPr>
        <w:t xml:space="preserve">В настоящее время на территории муниципального округа действуют нормативные правовые акты, принятые органами местного самоуправления поселений, преобразованных </w:t>
      </w:r>
      <w:r>
        <w:rPr>
          <w:rFonts w:cs="Times New Roman" w:ascii="Times New Roman" w:hAnsi="Times New Roman"/>
          <w:sz w:val="24"/>
          <w:szCs w:val="24"/>
          <w:u w:val="single"/>
        </w:rPr>
        <w:t>Законом Тамбовской области от 10.05.2023 № 287-З «О преобразовании всех поселений, входящих в состав Жердевского района Тамбовской области».</w:t>
      </w:r>
    </w:p>
    <w:p>
      <w:pPr>
        <w:pStyle w:val="HTML"/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3.3. анализ опыта иных муниципальных образований в соответствующих сферах деятельности: </w:t>
      </w:r>
    </w:p>
    <w:p>
      <w:pPr>
        <w:pStyle w:val="HTML"/>
        <w:ind w:left="0" w:right="0" w:firstLine="709"/>
        <w:jc w:val="both"/>
        <w:rPr/>
      </w:pPr>
      <w:r>
        <w:rPr>
          <w:rFonts w:cs="Times New Roman" w:ascii="Times New Roman" w:hAnsi="Times New Roman"/>
          <w:sz w:val="24"/>
          <w:szCs w:val="24"/>
          <w:u w:val="single"/>
          <w:lang w:val="ru-RU"/>
        </w:rPr>
        <w:t>м</w:t>
      </w:r>
      <w:r>
        <w:rPr>
          <w:rFonts w:cs="Times New Roman" w:ascii="Times New Roman" w:hAnsi="Times New Roman"/>
          <w:sz w:val="24"/>
          <w:szCs w:val="24"/>
          <w:u w:val="single"/>
        </w:rPr>
        <w:t xml:space="preserve">ониторинг нормативно-правовой базы иных муниципальных образований в области организации ритуальных услуг и содержания мест захоронения на территории </w:t>
      </w:r>
      <w:r>
        <w:rPr>
          <w:rFonts w:cs="Times New Roman" w:ascii="Times New Roman" w:hAnsi="Times New Roman"/>
          <w:sz w:val="24"/>
          <w:szCs w:val="24"/>
          <w:u w:val="single"/>
        </w:rPr>
        <w:t>муниципального образования</w:t>
      </w:r>
      <w:r>
        <w:rPr>
          <w:rFonts w:cs="Times New Roman" w:ascii="Times New Roman" w:hAnsi="Times New Roman"/>
          <w:sz w:val="24"/>
          <w:szCs w:val="24"/>
          <w:u w:val="single"/>
        </w:rPr>
        <w:t xml:space="preserve"> показал, что данная деятельность органов местного самоуправления регулируется </w:t>
      </w:r>
      <w:r>
        <w:rPr>
          <w:rFonts w:cs="Times New Roman" w:ascii="Times New Roman" w:hAnsi="Times New Roman"/>
          <w:sz w:val="24"/>
          <w:szCs w:val="24"/>
          <w:u w:val="single"/>
          <w:lang w:val="ru-RU"/>
        </w:rPr>
        <w:t>нормативными правовыми</w:t>
      </w:r>
      <w:r>
        <w:rPr>
          <w:rFonts w:cs="Times New Roman" w:ascii="Times New Roman" w:hAnsi="Times New Roman"/>
          <w:sz w:val="24"/>
          <w:szCs w:val="24"/>
          <w:u w:val="single"/>
        </w:rPr>
        <w:t xml:space="preserve"> актами, принятыми представительными органами.</w:t>
      </w:r>
    </w:p>
    <w:p>
      <w:pPr>
        <w:pStyle w:val="HTML"/>
        <w:ind w:left="0" w:right="0" w:firstLine="709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3.4. цели предлагаемого регулирования и их соответствие принципам правового регулирования: </w:t>
      </w:r>
      <w:r>
        <w:rPr>
          <w:rFonts w:cs="Times New Roman" w:ascii="Times New Roman" w:hAnsi="Times New Roman"/>
          <w:sz w:val="24"/>
          <w:szCs w:val="24"/>
          <w:u w:val="single"/>
        </w:rPr>
        <w:t>исключение</w:t>
      </w:r>
      <w:r>
        <w:rPr>
          <w:rFonts w:cs="Times New Roman" w:ascii="Times New Roman" w:hAnsi="Times New Roman"/>
          <w:sz w:val="24"/>
          <w:szCs w:val="24"/>
          <w:u w:val="single"/>
          <w:lang w:val="ru-RU"/>
        </w:rPr>
        <w:t xml:space="preserve"> неопределенности нормативно-правового регулирования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sz w:val="24"/>
          <w:szCs w:val="24"/>
          <w:u w:val="single"/>
          <w:lang w:val="ru-RU"/>
        </w:rPr>
        <w:t>организации ритуальных услуг и содержания мест захоронения на территории Жердевского муниципального округа Тамбовской области</w:t>
      </w:r>
    </w:p>
    <w:p>
      <w:pPr>
        <w:pStyle w:val="HTML"/>
        <w:ind w:left="0" w:right="0" w:firstLine="709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3.5. описание предлагаемого регулирования и иных возможных способов решения проблемы: </w:t>
      </w:r>
      <w:r>
        <w:rPr>
          <w:rFonts w:cs="Times New Roman" w:ascii="Times New Roman" w:hAnsi="Times New Roman"/>
          <w:sz w:val="24"/>
          <w:szCs w:val="24"/>
          <w:u w:val="single"/>
          <w:lang w:val="ru-RU"/>
        </w:rPr>
        <w:t xml:space="preserve">принятие </w:t>
      </w:r>
      <w:r>
        <w:rPr>
          <w:rFonts w:cs="Times New Roman" w:ascii="Times New Roman" w:hAnsi="Times New Roman"/>
          <w:sz w:val="24"/>
          <w:szCs w:val="24"/>
          <w:u w:val="single"/>
        </w:rPr>
        <w:t>решения Совета депутатов Жердевского муниципального округа Тамбовской области «Об утверждении Положения об организации ритуальных услуг и содержания мест захоронения на территории Жердевского муниципального округа Тамбовской области»</w:t>
      </w:r>
    </w:p>
    <w:p>
      <w:pPr>
        <w:pStyle w:val="HTML"/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3.6. основные группы субъектов предпринимательской и иной экономической деятельности, иные заинтересованные лица, включая органы местного самоуправления, интересы которых будут затронуты предлагаемым правовым регулированием, оценка количества таких субъектов:</w:t>
      </w:r>
    </w:p>
    <w:p>
      <w:pPr>
        <w:pStyle w:val="HTML"/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W w:w="9259" w:type="dxa"/>
        <w:jc w:val="left"/>
        <w:tblInd w:w="-24" w:type="dxa"/>
        <w:tblCellMar>
          <w:top w:w="0" w:type="dxa"/>
          <w:left w:w="7" w:type="dxa"/>
          <w:bottom w:w="0" w:type="dxa"/>
          <w:right w:w="0" w:type="dxa"/>
        </w:tblCellMar>
      </w:tblPr>
      <w:tblGrid>
        <w:gridCol w:w="4254"/>
        <w:gridCol w:w="2823"/>
        <w:gridCol w:w="2182"/>
      </w:tblGrid>
      <w:tr>
        <w:trPr/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</w:tcPr>
          <w:p>
            <w:pPr>
              <w:pStyle w:val="Normal"/>
              <w:suppressAutoHyphens w:val="tru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3.6.1. Группа участников отношений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</w:tcPr>
          <w:p>
            <w:pPr>
              <w:pStyle w:val="Normal"/>
              <w:suppressAutoHyphens w:val="tru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3.6.2. Оценка количества участников отношений 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suppressAutoHyphens w:val="tru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3.6.3. Источники данных </w:t>
            </w:r>
          </w:p>
        </w:tc>
      </w:tr>
      <w:tr>
        <w:trPr/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</w:tcPr>
          <w:p>
            <w:pPr>
              <w:pStyle w:val="Normal"/>
              <w:suppressAutoHyphens w:val="true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Юридические и физические лица, индивидуальные предприниматели, орган местного самоуправления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</w:tcPr>
          <w:p>
            <w:pPr>
              <w:pStyle w:val="Normal"/>
              <w:suppressAutoHyphens w:val="tru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неограниченно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suppressAutoHyphens w:val="tru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-</w:t>
            </w:r>
          </w:p>
        </w:tc>
      </w:tr>
    </w:tbl>
    <w:p>
      <w:pPr>
        <w:pStyle w:val="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3.7. новые функции, полномочия, обязанности и права органов местного самоуправления или сведения об их изменении, а также порядок их реализации:</w:t>
      </w:r>
    </w:p>
    <w:p>
      <w:pPr>
        <w:pStyle w:val="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W w:w="9227" w:type="dxa"/>
        <w:jc w:val="left"/>
        <w:tblInd w:w="3" w:type="dxa"/>
        <w:tblCellMar>
          <w:top w:w="0" w:type="dxa"/>
          <w:left w:w="7" w:type="dxa"/>
          <w:bottom w:w="0" w:type="dxa"/>
          <w:right w:w="0" w:type="dxa"/>
        </w:tblCellMar>
      </w:tblPr>
      <w:tblGrid>
        <w:gridCol w:w="4242"/>
        <w:gridCol w:w="2786"/>
        <w:gridCol w:w="2199"/>
      </w:tblGrid>
      <w:tr>
        <w:trPr/>
        <w:tc>
          <w:tcPr>
            <w:tcW w:w="4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</w:tcPr>
          <w:p>
            <w:pPr>
              <w:pStyle w:val="Normal"/>
              <w:suppressAutoHyphens w:val="tru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3.7.1. Описание новых или изменения существующих функций, полномочий, обязанностей и прав 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</w:tcPr>
          <w:p>
            <w:pPr>
              <w:pStyle w:val="Normal"/>
              <w:suppressAutoHyphens w:val="tru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3.7.2. Порядок реализации </w:t>
            </w:r>
          </w:p>
        </w:tc>
        <w:tc>
          <w:tcPr>
            <w:tcW w:w="2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suppressAutoHyphens w:val="tru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3.7.3. Оценка изменения трудозатрат и (или) потребностей в иных ресурсах </w:t>
            </w:r>
          </w:p>
        </w:tc>
      </w:tr>
      <w:tr>
        <w:trPr/>
        <w:tc>
          <w:tcPr>
            <w:tcW w:w="92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suppressAutoHyphens w:val="tru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органа: Управление жилищно-коммунального хозяйства, строительства, архитектуры и благоустройства территорий администрации Жердевского муниципального округа Тамбовской области </w:t>
            </w:r>
          </w:p>
        </w:tc>
      </w:tr>
      <w:tr>
        <w:trPr/>
        <w:tc>
          <w:tcPr>
            <w:tcW w:w="4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Функции не изменяются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</w:tcPr>
          <w:p>
            <w:pPr>
              <w:pStyle w:val="Normal"/>
              <w:suppressAutoHyphens w:val="tru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В соответствии с требованиями действующего законодательства</w:t>
            </w:r>
          </w:p>
        </w:tc>
        <w:tc>
          <w:tcPr>
            <w:tcW w:w="2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suppressAutoHyphens w:val="tru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Не требуется</w:t>
            </w:r>
          </w:p>
        </w:tc>
      </w:tr>
    </w:tbl>
    <w:p>
      <w:pPr>
        <w:pStyle w:val="HTML"/>
        <w:ind w:firstLine="709"/>
        <w:jc w:val="both"/>
        <w:rPr>
          <w:rFonts w:cs="Times New Roman"/>
        </w:rPr>
      </w:pPr>
      <w:r>
        <w:rPr>
          <w:rFonts w:cs="Times New Roman"/>
        </w:rPr>
      </w:r>
    </w:p>
    <w:p>
      <w:pPr>
        <w:pStyle w:val="HTM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3.8. оценка соответствующих расходов бюджета Жердевского муниципального округа (возможных поступлений в него):</w:t>
      </w:r>
      <w:r>
        <w:rPr>
          <w:rFonts w:ascii="Times New Roman" w:hAnsi="Times New Roman"/>
          <w:sz w:val="24"/>
          <w:szCs w:val="24"/>
        </w:rPr>
        <w:t> </w:t>
      </w:r>
    </w:p>
    <w:p>
      <w:pPr>
        <w:pStyle w:val="HTM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W w:w="9236" w:type="dxa"/>
        <w:jc w:val="left"/>
        <w:tblInd w:w="0" w:type="dxa"/>
        <w:tblCellMar>
          <w:top w:w="0" w:type="dxa"/>
          <w:left w:w="7" w:type="dxa"/>
          <w:bottom w:w="0" w:type="dxa"/>
          <w:right w:w="0" w:type="dxa"/>
        </w:tblCellMar>
      </w:tblPr>
      <w:tblGrid>
        <w:gridCol w:w="2999"/>
        <w:gridCol w:w="2378"/>
        <w:gridCol w:w="2353"/>
        <w:gridCol w:w="1505"/>
      </w:tblGrid>
      <w:tr>
        <w:trPr/>
        <w:tc>
          <w:tcPr>
            <w:tcW w:w="2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3.8.1. Наименование новой или изменяемой функции (полномочия, обязанности или права) </w:t>
            </w:r>
          </w:p>
          <w:p>
            <w:pPr>
              <w:pStyle w:val="Normal"/>
              <w:suppressAutoHyphens w:val="tru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(указываются данные из подпункта 3.7 сводного отчета) 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</w:tcPr>
          <w:p>
            <w:pPr>
              <w:pStyle w:val="Normal"/>
              <w:suppressAutoHyphens w:val="tru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3.8.2. Описание видов расходов (возможных поступлений) бюджета</w:t>
            </w:r>
          </w:p>
          <w:p>
            <w:pPr>
              <w:pStyle w:val="Normal"/>
              <w:suppressAutoHyphens w:val="tru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Жердевского муниципального округа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</w:tcPr>
          <w:p>
            <w:pPr>
              <w:pStyle w:val="Normal"/>
              <w:suppressAutoHyphens w:val="tru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3.8.3. Количественная оценка расходов и возможных поступлений, руб. </w:t>
            </w:r>
          </w:p>
        </w:tc>
        <w:tc>
          <w:tcPr>
            <w:tcW w:w="1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suppressAutoHyphens w:val="tru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3.8.4. Источники данных </w:t>
            </w:r>
          </w:p>
        </w:tc>
      </w:tr>
      <w:tr>
        <w:trPr/>
        <w:tc>
          <w:tcPr>
            <w:tcW w:w="92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suppressAutoHyphens w:val="tru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органа: Управление жилищно-коммунального хозяйства, строительства, архитектуры и благоустройства территорий администрации Жердевского муниципального округа Тамбовской области </w:t>
            </w:r>
          </w:p>
        </w:tc>
      </w:tr>
      <w:tr>
        <w:trPr/>
        <w:tc>
          <w:tcPr>
            <w:tcW w:w="2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</w:tcPr>
          <w:p>
            <w:pPr>
              <w:pStyle w:val="Normal"/>
              <w:suppressAutoHyphens w:val="tru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Функции не изменяются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</w:tcPr>
          <w:p>
            <w:pPr>
              <w:pStyle w:val="Normal"/>
              <w:suppressAutoHyphens w:val="tru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eastAsia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suppressAutoHyphens w:val="tru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eastAsia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sz w:val="24"/>
                <w:szCs w:val="24"/>
              </w:rPr>
              <w:t>-</w:t>
            </w:r>
          </w:p>
        </w:tc>
      </w:tr>
    </w:tbl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p>
      <w:pPr>
        <w:pStyle w:val="HTM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3.9. новые, изменяющие или отменяющие ранее предусмотренные муниципальным актом обязательные требования, устанавливающие новые, изменяющие или отменяющие ранее предусмотренные муниципальным актом обязанности и запреты для субъектов предпринимательской и инвестиционной деятельности, а также устанавливающие, изменяющие или отменяющие ответственность за нарушение муниципальных актов, затрагивающих вопросы осуществления предпринимательской и иной экономической деятельности:</w:t>
      </w:r>
      <w:r>
        <w:rPr>
          <w:rFonts w:ascii="Times New Roman" w:hAnsi="Times New Roman"/>
          <w:sz w:val="24"/>
          <w:szCs w:val="24"/>
        </w:rPr>
        <w:t> </w:t>
      </w:r>
    </w:p>
    <w:p>
      <w:pPr>
        <w:pStyle w:val="HTM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W w:w="9355" w:type="dxa"/>
        <w:jc w:val="left"/>
        <w:tblInd w:w="0" w:type="dxa"/>
        <w:tblCellMar>
          <w:top w:w="0" w:type="dxa"/>
          <w:left w:w="7" w:type="dxa"/>
          <w:bottom w:w="0" w:type="dxa"/>
          <w:right w:w="0" w:type="dxa"/>
        </w:tblCellMar>
      </w:tblPr>
      <w:tblGrid>
        <w:gridCol w:w="3118"/>
        <w:gridCol w:w="3911"/>
        <w:gridCol w:w="2326"/>
      </w:tblGrid>
      <w:tr>
        <w:trPr/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</w:tcPr>
          <w:p>
            <w:pPr>
              <w:pStyle w:val="Normal"/>
              <w:suppressAutoHyphens w:val="tru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3.9.1. Группа участников</w:t>
            </w:r>
          </w:p>
        </w:tc>
        <w:tc>
          <w:tcPr>
            <w:tcW w:w="3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</w:tcPr>
          <w:p>
            <w:pPr>
              <w:pStyle w:val="Normal"/>
              <w:suppressAutoHyphens w:val="tru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3.9.2. Описание новых положений, вводящих избыточные обязанности, запреты и ограничения для субъектов предпринимательской и иной экономической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иной экономической деятельности и бюджета Жердевского муниципального округа </w:t>
            </w: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suppressAutoHyphens w:val="tru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3.9.3. Порядок организации исполнения обязательных требований, ответственности за нарушение муниципального акта</w:t>
            </w:r>
          </w:p>
        </w:tc>
      </w:tr>
      <w:tr>
        <w:trPr/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jc w:val="left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Юридические и физические лица, индивидуальные предприниматели, орган местного самоуправления</w:t>
            </w:r>
          </w:p>
        </w:tc>
        <w:tc>
          <w:tcPr>
            <w:tcW w:w="3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нет</w:t>
            </w: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suppressAutoHyphens w:val="tru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-</w:t>
            </w:r>
          </w:p>
        </w:tc>
      </w:tr>
    </w:tbl>
    <w:p>
      <w:pPr>
        <w:pStyle w:val="Normal"/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ind w:left="0" w:right="0" w:firstLine="709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3.10. оценка расходов и доходов субъектов предпринимательской и иной экономической деятельности, связанных с необходимостью соблюдения обязательных требований либо изменением содержания обязательных требований, а также связанных с изменением или отменой ответственности:</w:t>
      </w:r>
    </w:p>
    <w:p>
      <w:pPr>
        <w:pStyle w:val="Normal"/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tbl>
      <w:tblPr>
        <w:tblW w:w="9355" w:type="dxa"/>
        <w:jc w:val="left"/>
        <w:tblInd w:w="0" w:type="dxa"/>
        <w:tblCellMar>
          <w:top w:w="0" w:type="dxa"/>
          <w:left w:w="7" w:type="dxa"/>
          <w:bottom w:w="0" w:type="dxa"/>
          <w:right w:w="0" w:type="dxa"/>
        </w:tblCellMar>
      </w:tblPr>
      <w:tblGrid>
        <w:gridCol w:w="3118"/>
        <w:gridCol w:w="2378"/>
        <w:gridCol w:w="1757"/>
        <w:gridCol w:w="2101"/>
      </w:tblGrid>
      <w:tr>
        <w:trPr/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3.10.1. Группа участников </w:t>
            </w:r>
          </w:p>
          <w:p>
            <w:pPr>
              <w:pStyle w:val="Normal"/>
              <w:suppressAutoHyphens w:val="tru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(указываются данные из подпункта 3.6 сводного отчета) 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</w:tcPr>
          <w:p>
            <w:pPr>
              <w:pStyle w:val="Normal"/>
              <w:suppressAutoHyphens w:val="tru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3.10.2. Описание новых, изменяющих или отменяющих обязательные требования, обязанностей и запретов, ответственность за нарушение муниципального акта (указываются данные из подпункта 3.9 сводного отчета) 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</w:tcPr>
          <w:p>
            <w:pPr>
              <w:pStyle w:val="Normal"/>
              <w:suppressAutoHyphens w:val="tru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3.10.3. Описание и оценка видов расходов и доходов 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suppressAutoHyphens w:val="tru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3.10.4. Источники данных </w:t>
            </w:r>
          </w:p>
        </w:tc>
      </w:tr>
      <w:tr>
        <w:trPr/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jc w:val="left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Юридические и физические лица, индивидуальные предприниматели, орган местного самоуправления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нет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</w:tcPr>
          <w:p>
            <w:pPr>
              <w:pStyle w:val="Normal"/>
              <w:suppressAutoHyphens w:val="tru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suppressAutoHyphens w:val="true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Федеральны</w:t>
            </w:r>
            <w:r>
              <w:rPr>
                <w:rFonts w:eastAsia="Times New Roman" w:ascii="Times New Roman" w:hAnsi="Times New Roman"/>
                <w:sz w:val="24"/>
                <w:szCs w:val="24"/>
              </w:rPr>
              <w:t>й</w:t>
            </w:r>
            <w:r>
              <w:rPr>
                <w:rFonts w:eastAsia="Times New Roman" w:ascii="Times New Roman" w:hAnsi="Times New Roman"/>
                <w:sz w:val="24"/>
                <w:szCs w:val="24"/>
              </w:rPr>
              <w:t xml:space="preserve"> закон от 12.01.1996 № 8-ФЗ «О погребении и похоронном деле»</w:t>
            </w:r>
          </w:p>
        </w:tc>
      </w:tr>
    </w:tbl>
    <w:p>
      <w:pPr>
        <w:pStyle w:val="Normal"/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ind w:left="0" w:right="0" w:firstLine="709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3.11. риски решения проблемы предложенным способом регулирования и риски негативных последствий, в том числе возможные риски ограничения конкуренции: </w:t>
      </w:r>
      <w:r>
        <w:rPr>
          <w:rFonts w:cs="Times New Roman" w:ascii="Times New Roman" w:hAnsi="Times New Roman"/>
          <w:sz w:val="24"/>
          <w:szCs w:val="24"/>
          <w:u w:val="single"/>
          <w:lang w:val="ru-RU"/>
        </w:rPr>
        <w:t>отсутствуют</w:t>
      </w:r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HTML"/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3.12. предполагаемая дата вступления в силу проекта муниципального акта, необходимость установления переходных положений (переходного периода): </w:t>
      </w:r>
      <w:r>
        <w:rPr>
          <w:rFonts w:cs="Times New Roman" w:ascii="Times New Roman" w:hAnsi="Times New Roman"/>
          <w:sz w:val="24"/>
          <w:szCs w:val="24"/>
          <w:u w:val="single"/>
          <w:lang w:val="ru-RU"/>
        </w:rPr>
        <w:t>ию</w:t>
      </w:r>
      <w:r>
        <w:rPr>
          <w:rFonts w:cs="Times New Roman" w:ascii="Times New Roman" w:hAnsi="Times New Roman"/>
          <w:sz w:val="24"/>
          <w:szCs w:val="24"/>
          <w:u w:val="single"/>
          <w:lang w:val="ru-RU"/>
        </w:rPr>
        <w:t>л</w:t>
      </w:r>
      <w:r>
        <w:rPr>
          <w:rFonts w:cs="Times New Roman" w:ascii="Times New Roman" w:hAnsi="Times New Roman"/>
          <w:sz w:val="24"/>
          <w:szCs w:val="24"/>
          <w:u w:val="single"/>
          <w:lang w:val="ru-RU"/>
        </w:rPr>
        <w:t>ь 2024 года, необходимость установления переходных положений отсутствует</w:t>
      </w:r>
      <w:r>
        <w:rPr>
          <w:rFonts w:cs="Times New Roman" w:ascii="Times New Roman" w:hAnsi="Times New Roman"/>
          <w:sz w:val="24"/>
          <w:szCs w:val="24"/>
          <w:lang w:val="ru-RU"/>
        </w:rPr>
        <w:t>;</w:t>
      </w:r>
    </w:p>
    <w:p>
      <w:pPr>
        <w:pStyle w:val="HTML"/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3.13. иные сведения, которые, по мнению разработчика проекта муниципального акта, позволяют оценить обоснованность предлагаемого регулирования: </w:t>
      </w:r>
      <w:r>
        <w:rPr>
          <w:rFonts w:cs="Times New Roman" w:ascii="Times New Roman" w:hAnsi="Times New Roman"/>
          <w:sz w:val="24"/>
          <w:szCs w:val="24"/>
          <w:u w:val="single"/>
          <w:lang w:val="ru-RU"/>
        </w:rPr>
        <w:t>отсутствуют</w:t>
      </w:r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Указание (при наличии) на приложения: </w:t>
      </w:r>
      <w:r>
        <w:rPr>
          <w:rFonts w:cs="Times New Roman" w:ascii="Times New Roman" w:hAnsi="Times New Roman"/>
          <w:sz w:val="24"/>
          <w:szCs w:val="24"/>
          <w:u w:val="single"/>
        </w:rPr>
        <w:t>не требуется</w:t>
      </w:r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 </w:t>
      </w:r>
    </w:p>
    <w:p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Style19"/>
        <w:tabs>
          <w:tab w:val="clear" w:pos="709"/>
          <w:tab w:val="right" w:pos="9355" w:leader="none"/>
        </w:tabs>
        <w:spacing w:lineRule="auto" w:line="240" w:before="0" w:after="0"/>
        <w:ind w:left="0" w:right="0" w:hanging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Заместитель главы</w:t>
      </w:r>
    </w:p>
    <w:p>
      <w:pPr>
        <w:pStyle w:val="Style19"/>
        <w:tabs>
          <w:tab w:val="clear" w:pos="709"/>
          <w:tab w:val="right" w:pos="9355" w:leader="none"/>
        </w:tabs>
        <w:spacing w:lineRule="auto" w:line="240" w:before="0" w:after="0"/>
        <w:ind w:left="0" w:right="0" w:hanging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администрации округа,</w:t>
      </w:r>
    </w:p>
    <w:p>
      <w:pPr>
        <w:pStyle w:val="Style19"/>
        <w:tabs>
          <w:tab w:val="clear" w:pos="709"/>
          <w:tab w:val="right" w:pos="9355" w:leader="none"/>
        </w:tabs>
        <w:spacing w:lineRule="auto" w:line="240" w:before="0" w:after="0"/>
        <w:ind w:left="0" w:right="0" w:hanging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начальник управления</w:t>
        <w:tab/>
        <w:t>А.Ю. Горбунов</w:t>
      </w:r>
    </w:p>
    <w:p>
      <w:pPr>
        <w:pStyle w:val="Style19"/>
        <w:tabs>
          <w:tab w:val="clear" w:pos="709"/>
          <w:tab w:val="right" w:pos="9355" w:leader="none"/>
        </w:tabs>
        <w:spacing w:lineRule="auto" w:line="240" w:before="0" w:after="0"/>
        <w:ind w:left="0" w:right="0" w:hanging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Style19"/>
        <w:tabs>
          <w:tab w:val="clear" w:pos="709"/>
          <w:tab w:val="right" w:pos="9355" w:leader="none"/>
        </w:tabs>
        <w:spacing w:lineRule="auto" w:line="240" w:before="0" w:after="0"/>
        <w:ind w:left="0" w:right="0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24.05.2024</w:t>
      </w:r>
    </w:p>
    <w:sectPr>
      <w:footnotePr>
        <w:numFmt w:val="decimal"/>
      </w:footnotePr>
      <w:type w:val="nextPage"/>
      <w:pgSz w:w="11906" w:h="16838"/>
      <w:pgMar w:left="1701" w:right="850" w:header="720" w:top="1134" w:footer="72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  <w:font w:name="Times New Roman">
    <w:charset w:val="cc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HTML"/>
        <w:jc w:val="both"/>
        <w:rPr/>
      </w:pPr>
      <w:r>
        <w:rPr>
          <w:rStyle w:val="Style14"/>
        </w:rPr>
        <w:footnoteRef/>
      </w:r>
      <w:r>
        <w:rPr>
          <w:rFonts w:cs="PT Astra Serif;Rubik" w:ascii="Times New Roman" w:hAnsi="Times New Roman"/>
          <w:sz w:val="18"/>
          <w:szCs w:val="18"/>
        </w:rPr>
        <w:t>Все разделы обязательны для заполнения проектов муниципальных актов с высокой степенью регулирующего воздействия.</w:t>
      </w:r>
    </w:p>
    <w:p>
      <w:pPr>
        <w:pStyle w:val="HTML"/>
        <w:jc w:val="both"/>
        <w:rPr>
          <w:rFonts w:ascii="Times New Roman" w:hAnsi="Times New Roman" w:cs="PT Astra Serif;Rubik"/>
          <w:sz w:val="18"/>
          <w:szCs w:val="18"/>
        </w:rPr>
      </w:pPr>
      <w:r>
        <w:rPr>
          <w:rFonts w:cs="PT Astra Serif;Rubik" w:ascii="Times New Roman" w:hAnsi="Times New Roman"/>
          <w:sz w:val="18"/>
          <w:szCs w:val="18"/>
        </w:rPr>
        <w:t>В сводном отчете для проектов муниципальных актов со средней степенью регулирующего воздействия необходимо указывать сведения, предусмотренные пунктами 1-2, подпунктами 3.1 - 3.6, 3.9 – 3.13 пункта 3.</w:t>
      </w:r>
    </w:p>
    <w:p>
      <w:pPr>
        <w:pStyle w:val="HTML"/>
        <w:jc w:val="both"/>
        <w:rPr>
          <w:rFonts w:ascii="Times New Roman" w:hAnsi="Times New Roman" w:cs="PT Astra Serif;Rubik"/>
          <w:sz w:val="18"/>
          <w:szCs w:val="18"/>
        </w:rPr>
      </w:pPr>
      <w:r>
        <w:rPr>
          <w:rFonts w:cs="PT Astra Serif;Rubik" w:ascii="Times New Roman" w:hAnsi="Times New Roman"/>
          <w:sz w:val="18"/>
          <w:szCs w:val="18"/>
        </w:rPr>
        <w:t>В сводном отчете для проектов муниципальных актов с низкой степенью регулирующего воздействия необходимо указывать сведения, предусмотренные пунктами 1-2, подпунктами 3.1, 3.2, 3.4 - 3.6, 3.12 - 3.13 пункта 3.</w:t>
      </w:r>
    </w:p>
    <w:p>
      <w:pPr>
        <w:pStyle w:val="HTML"/>
        <w:jc w:val="both"/>
        <w:rPr/>
      </w:pPr>
      <w:r>
        <w:rPr/>
      </w:r>
    </w:p>
  </w:footnote>
</w:footnotes>
</file>

<file path=word/settings.xml><?xml version="1.0" encoding="utf-8"?>
<w:settings xmlns:w="http://schemas.openxmlformats.org/wordprocessingml/2006/main">
  <w:zoom w:percent="140"/>
  <w:defaultTabStop w:val="709"/>
  <w:footnotePr>
    <w:numFmt w:val="decimal"/>
    <w:footnote w:id="0"/>
    <w:footnote w:id="1"/>
  </w:footnotePr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Mangal"/>
        <w:kern w:val="2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NSimSun" w:cs="Mangal"/>
      <w:color w:val="auto"/>
      <w:kern w:val="2"/>
      <w:sz w:val="24"/>
      <w:szCs w:val="24"/>
      <w:lang w:val="ru-RU" w:eastAsia="zh-CN" w:bidi="hi-IN"/>
    </w:rPr>
  </w:style>
  <w:style w:type="character" w:styleId="1">
    <w:name w:val="Знак сноски1"/>
    <w:qFormat/>
    <w:rPr>
      <w:vertAlign w:val="superscript"/>
    </w:rPr>
  </w:style>
  <w:style w:type="character" w:styleId="Style14">
    <w:name w:val="Символ сноски"/>
    <w:qFormat/>
    <w:rPr/>
  </w:style>
  <w:style w:type="character" w:styleId="Style15">
    <w:name w:val="Привязка сноски"/>
    <w:rPr>
      <w:vertAlign w:val="superscript"/>
    </w:rPr>
  </w:style>
  <w:style w:type="character" w:styleId="Style16">
    <w:name w:val="Привязка концевой сноски"/>
    <w:rPr>
      <w:vertAlign w:val="superscript"/>
    </w:rPr>
  </w:style>
  <w:style w:type="character" w:styleId="Style17">
    <w:name w:val="Символ концевой сноски"/>
    <w:qFormat/>
    <w:rPr/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Mang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Mangal"/>
    </w:rPr>
  </w:style>
  <w:style w:type="paragraph" w:styleId="HTML">
    <w:name w:val="Стандартный HTML"/>
    <w:basedOn w:val="Normal"/>
    <w:qFormat/>
    <w:pPr>
      <w:tabs>
        <w:tab w:val="clear" w:pos="709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sz w:val="20"/>
      <w:szCs w:val="20"/>
      <w:lang w:val="ru-RU"/>
    </w:rPr>
  </w:style>
  <w:style w:type="paragraph" w:styleId="Style23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paragraph" w:styleId="Style24">
    <w:name w:val="Содержимое таблицы"/>
    <w:basedOn w:val="Normal"/>
    <w:qFormat/>
    <w:pPr>
      <w:suppressLineNumbers/>
    </w:pPr>
    <w:rPr/>
  </w:style>
  <w:style w:type="paragraph" w:styleId="Style25">
    <w:name w:val="Заголовок таблицы"/>
    <w:basedOn w:val="Style24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54</TotalTime>
  <Application>LibreOffice/6.2.0.3$Windows_x86 LibreOffice_project/98c6a8a1c6c7b144ce3cc729e34964b47ce25d62</Application>
  <Pages>4</Pages>
  <Words>838</Words>
  <Characters>6774</Characters>
  <CharactersWithSpaces>7570</CharactersWithSpaces>
  <Paragraphs>74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2024-05-22T16:14:57Z</dcterms:created>
  <dc:creator/>
  <dc:description/>
  <dc:language>ru-RU</dc:language>
  <cp:lastModifiedBy/>
  <dcterms:modified xsi:type="dcterms:W3CDTF">2024-06-18T09:52:23Z</dcterms:modified>
  <cp:revision>5</cp:revision>
  <dc:subject/>
  <dc:title/>
</cp:coreProperties>
</file>