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TML"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>Сводный отчет проекта муниципального нормативного правового акта</w:t>
      </w:r>
      <w:r>
        <w:rPr>
          <w:rStyle w:val="1"/>
          <w:rStyle w:val="Style15"/>
          <w:rFonts w:cs="Times New Roman" w:ascii="Times New Roman" w:hAnsi="Times New Roman"/>
          <w:sz w:val="24"/>
          <w:szCs w:val="24"/>
        </w:rPr>
        <w:footnoteReference w:id="2"/>
      </w:r>
    </w:p>
    <w:p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TML"/>
        <w:ind w:left="0" w:right="0" w:firstLine="709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1. Разработчик проекта муниципального нормативного правового акта: 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Управление жилищно-коммунального хозяйства, строительства, архитектуры и благоустройства территорий администрации Жердевского муниципального округа Тамбовской области (Управление ЖКХ, архитектуры, строительства и благоустройства территорий администрации Жердевского муниципального округа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)</w:t>
      </w:r>
    </w:p>
    <w:p>
      <w:pPr>
        <w:pStyle w:val="HTML"/>
        <w:ind w:left="0" w:right="0" w:firstLine="709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2. Вид и наименование проекта муниципального нормативного правового акта Жердевского муниципального округа (далее – муниципальный акт) </w:t>
      </w:r>
    </w:p>
    <w:p>
      <w:pPr>
        <w:pStyle w:val="HTML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Проект решения Совета депутатов Жердевского муниципального округа Тамбовской области «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Об утверждении Порядка проведения осмотра зданий, сооружений в целях 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на территории Жердевского муниципального округа Тамбовской области»</w:t>
      </w:r>
    </w:p>
    <w:p>
      <w:pPr>
        <w:pStyle w:val="HTML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Контактная информация исполнителя разработчика:</w:t>
      </w:r>
    </w:p>
    <w:p>
      <w:pPr>
        <w:pStyle w:val="Normal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Чихачёва Елена Викторовна</w:t>
      </w:r>
    </w:p>
    <w:p>
      <w:pPr>
        <w:pStyle w:val="HTML"/>
        <w:ind w:left="0" w:right="0" w:firstLine="709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Должность: 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юрисконсульт</w:t>
      </w:r>
    </w:p>
    <w:p>
      <w:pPr>
        <w:pStyle w:val="HTML"/>
        <w:ind w:left="0" w:right="0" w:firstLine="709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Тел.: 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8 (47535) 5-18-50</w:t>
      </w:r>
    </w:p>
    <w:p>
      <w:pPr>
        <w:pStyle w:val="HTML"/>
        <w:ind w:left="0" w:right="0" w:firstLine="709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Адрес электронной почты: </w:t>
      </w:r>
      <w:r>
        <w:rPr>
          <w:rFonts w:cs="Times New Roman" w:ascii="Times New Roman" w:hAnsi="Times New Roman"/>
          <w:sz w:val="24"/>
          <w:szCs w:val="24"/>
          <w:u w:val="single"/>
          <w:lang w:val="en-US"/>
        </w:rPr>
        <w:t>sovet@r35.tambov.gov.ru</w:t>
      </w:r>
    </w:p>
    <w:p>
      <w:pPr>
        <w:pStyle w:val="HTML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3</w:t>
      </w:r>
      <w:r>
        <w:rPr>
          <w:rFonts w:cs="Times New Roman" w:ascii="Times New Roman" w:hAnsi="Times New Roman"/>
          <w:sz w:val="24"/>
          <w:szCs w:val="24"/>
          <w:lang w:val="ru-RU"/>
        </w:rPr>
        <w:t>. </w:t>
      </w:r>
      <w:r>
        <w:rPr>
          <w:rFonts w:cs="Times New Roman" w:ascii="Times New Roman" w:hAnsi="Times New Roman"/>
          <w:sz w:val="24"/>
          <w:szCs w:val="24"/>
        </w:rPr>
        <w:t>Обязательные сведения о проекте муниципального акта:</w:t>
      </w:r>
    </w:p>
    <w:p>
      <w:pPr>
        <w:pStyle w:val="HTML"/>
        <w:ind w:left="0"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3.1. степень регулирующего воздействия проекта муниципального акта: 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средняя</w:t>
      </w:r>
    </w:p>
    <w:p>
      <w:pPr>
        <w:pStyle w:val="HTML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3.2. </w:t>
      </w:r>
      <w:r>
        <w:rPr>
          <w:rFonts w:cs="Times New Roman" w:ascii="Times New Roman" w:hAnsi="Times New Roman"/>
          <w:sz w:val="24"/>
          <w:szCs w:val="24"/>
        </w:rPr>
        <w:t>описание проблемы, на решение которой направлен предлагаемый способ регулирования, оценка негативных эффектов, возникающих в связи с наличием рассматриваемой проблемы:</w:t>
      </w:r>
    </w:p>
    <w:p>
      <w:pPr>
        <w:pStyle w:val="HTML"/>
        <w:ind w:left="0" w:righ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 xml:space="preserve">отсутствие единого 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порядка проведения осмотра зданий, сооружений в целях 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на территории Жердевского муниципального округа Тамбовской области. 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 xml:space="preserve">В настоящее время на 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территории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 xml:space="preserve"> муниципального округа действуют нормативные правовые акты, принят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ы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 xml:space="preserve">е органами местного самоуправления поселений, преобразованных </w:t>
      </w:r>
      <w:r>
        <w:rPr>
          <w:rFonts w:cs="Times New Roman" w:ascii="Times New Roman" w:hAnsi="Times New Roman"/>
          <w:sz w:val="24"/>
          <w:szCs w:val="24"/>
          <w:u w:val="single"/>
        </w:rPr>
        <w:t>Законом Тамбовской области от 10.05.2023 № 287-З «О преобразовании всех поселений, входящих в состав Жердевского района Тамбовской области».</w:t>
      </w:r>
    </w:p>
    <w:p>
      <w:pPr>
        <w:pStyle w:val="HTML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3.3. анализ опыта иных муниципальных образований в соответствующих сферах деятельности: </w:t>
      </w:r>
    </w:p>
    <w:p>
      <w:pPr>
        <w:pStyle w:val="HTML"/>
        <w:ind w:left="0" w:righ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м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ониторинг нормативно-правовой базы иных муниципальных образований в области проведения осмотров зданий и сооружений на предмет их технического состояния и надлежащего технического обслуживания показал, что данная деятельность органов местного самоуправления регулируется 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нормативн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 xml:space="preserve">ыми 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правовыми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актами, принятыми представительными органами.</w:t>
      </w:r>
    </w:p>
    <w:p>
      <w:pPr>
        <w:pStyle w:val="HTML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3.4. цели предлагаемого регулирования и их соответствие принципам правового регулирования: </w:t>
      </w:r>
      <w:r>
        <w:rPr>
          <w:rFonts w:cs="Times New Roman" w:ascii="Times New Roman" w:hAnsi="Times New Roman"/>
          <w:sz w:val="24"/>
          <w:szCs w:val="24"/>
          <w:u w:val="single"/>
        </w:rPr>
        <w:t>исключение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 xml:space="preserve"> неопределенности нормативно-правового регулирования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порядка проведения осмотра зданий, сооружений в целях 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на территории Жердевского муниципального округа Тамбовской области</w:t>
      </w:r>
    </w:p>
    <w:p>
      <w:pPr>
        <w:pStyle w:val="HTML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3.5. описание предлагаемого регулирования и иных возможных способов решения проблемы: 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 xml:space="preserve">принятие </w:t>
      </w:r>
      <w:r>
        <w:rPr>
          <w:rFonts w:cs="Times New Roman" w:ascii="Times New Roman" w:hAnsi="Times New Roman"/>
          <w:sz w:val="24"/>
          <w:szCs w:val="24"/>
          <w:u w:val="single"/>
        </w:rPr>
        <w:t>решения Совета депутатов Жердевского муниципального округа Тамбовской области «Об утверждении Порядка проведения осмотра зданий, сооружений в целях 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на территории Жердевского муниципального округа Тамбовской области»</w:t>
      </w:r>
    </w:p>
    <w:p>
      <w:pPr>
        <w:pStyle w:val="HTML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3.6. основные группы субъектов предпринимательской и иной экономической деятельности, иные заинтересованные лица, включая органы местного самоуправления, интересы которых будут затронуты предлагаемым правовым регулированием, оценка количества таких субъектов:</w:t>
      </w:r>
    </w:p>
    <w:p>
      <w:pPr>
        <w:pStyle w:val="HTML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9259" w:type="dxa"/>
        <w:jc w:val="left"/>
        <w:tblInd w:w="-24" w:type="dxa"/>
        <w:tblCellMar>
          <w:top w:w="0" w:type="dxa"/>
          <w:left w:w="7" w:type="dxa"/>
          <w:bottom w:w="0" w:type="dxa"/>
          <w:right w:w="0" w:type="dxa"/>
        </w:tblCellMar>
      </w:tblPr>
      <w:tblGrid>
        <w:gridCol w:w="4254"/>
        <w:gridCol w:w="2823"/>
        <w:gridCol w:w="2182"/>
      </w:tblGrid>
      <w:tr>
        <w:trPr/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3.6.1. Группа участников отношений 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3.6.2. Оценка количества участников отношений 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3.6.3. Источники данных </w:t>
            </w:r>
          </w:p>
        </w:tc>
      </w:tr>
      <w:tr>
        <w:trPr/>
        <w:tc>
          <w:tcPr>
            <w:tcW w:w="4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Юридические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физические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лица, индивидуальные предприниматели, </w:t>
            </w:r>
            <w:r>
              <w:rPr>
                <w:rFonts w:ascii="Times New Roman" w:hAnsi="Times New Roman"/>
                <w:sz w:val="24"/>
                <w:szCs w:val="24"/>
              </w:rPr>
              <w:t>орган местного самоуправления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неограниченно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-</w:t>
            </w:r>
          </w:p>
        </w:tc>
      </w:tr>
    </w:tbl>
    <w:p>
      <w:pPr>
        <w:pStyle w:val="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3.7. новые функции, полномочия, обязанности и права органов местного самоуправления или сведения об их изменении, а также порядок их реализации:</w:t>
      </w:r>
    </w:p>
    <w:p>
      <w:pPr>
        <w:pStyle w:val="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9227" w:type="dxa"/>
        <w:jc w:val="left"/>
        <w:tblInd w:w="3" w:type="dxa"/>
        <w:tblCellMar>
          <w:top w:w="0" w:type="dxa"/>
          <w:left w:w="7" w:type="dxa"/>
          <w:bottom w:w="0" w:type="dxa"/>
          <w:right w:w="0" w:type="dxa"/>
        </w:tblCellMar>
      </w:tblPr>
      <w:tblGrid>
        <w:gridCol w:w="4243"/>
        <w:gridCol w:w="2786"/>
        <w:gridCol w:w="2198"/>
      </w:tblGrid>
      <w:tr>
        <w:trPr/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3.7.1. Описание новых или изменения существующих функций, полномочий, обязанностей и прав 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3.7.2. Порядок реализации 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3.7.3. Оценка изменения трудозатрат и (или) потребностей в иных ресурсах </w:t>
            </w:r>
          </w:p>
        </w:tc>
      </w:tr>
      <w:tr>
        <w:trPr/>
        <w:tc>
          <w:tcPr>
            <w:tcW w:w="92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органа: Управление жилищно-коммунального хозяйства, строительства, архитектуры и благоустройства территорий администрации Жердевского муниципального округа Тамбовской области </w:t>
            </w:r>
          </w:p>
        </w:tc>
      </w:tr>
      <w:tr>
        <w:trPr/>
        <w:tc>
          <w:tcPr>
            <w:tcW w:w="4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Функции не изменяются</w:t>
            </w:r>
          </w:p>
        </w:tc>
        <w:tc>
          <w:tcPr>
            <w:tcW w:w="2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В соответствии с требованиями действующего законодательства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Не требуется</w:t>
            </w:r>
          </w:p>
        </w:tc>
      </w:tr>
    </w:tbl>
    <w:p>
      <w:pPr>
        <w:pStyle w:val="HTML"/>
        <w:ind w:firstLine="709"/>
        <w:jc w:val="both"/>
        <w:rPr>
          <w:rFonts w:cs="Times New Roman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HTM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3.8. оценка соответствующих расходов бюджета Жердевского муниципального округа (возможных поступлений в него):</w:t>
      </w:r>
      <w:r>
        <w:rPr>
          <w:rFonts w:ascii="Times New Roman" w:hAnsi="Times New Roman"/>
          <w:sz w:val="24"/>
          <w:szCs w:val="24"/>
        </w:rPr>
        <w:t> </w:t>
      </w:r>
    </w:p>
    <w:p>
      <w:pPr>
        <w:pStyle w:val="HTM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9236" w:type="dxa"/>
        <w:jc w:val="left"/>
        <w:tblInd w:w="0" w:type="dxa"/>
        <w:tblCellMar>
          <w:top w:w="0" w:type="dxa"/>
          <w:left w:w="7" w:type="dxa"/>
          <w:bottom w:w="0" w:type="dxa"/>
          <w:right w:w="0" w:type="dxa"/>
        </w:tblCellMar>
      </w:tblPr>
      <w:tblGrid>
        <w:gridCol w:w="3000"/>
        <w:gridCol w:w="2377"/>
        <w:gridCol w:w="2354"/>
        <w:gridCol w:w="1505"/>
      </w:tblGrid>
      <w:tr>
        <w:trPr/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3.8.1. Наименование новой или изменяемой функции (полномочия, обязанности или права) </w:t>
            </w:r>
          </w:p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(указываются данные из подпункта 3.7 сводного отчета) </w:t>
            </w:r>
          </w:p>
        </w:tc>
        <w:tc>
          <w:tcPr>
            <w:tcW w:w="2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3.8.2. Описание видов расходов (возможных поступлений) бюджета</w:t>
            </w:r>
          </w:p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Жердевского муниципального округа</w:t>
            </w:r>
          </w:p>
        </w:tc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3.8.3. Количественная оценка расходов и возможных поступлений, руб. </w:t>
            </w:r>
          </w:p>
        </w:tc>
        <w:tc>
          <w:tcPr>
            <w:tcW w:w="1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3.8.4. Источники данных </w:t>
            </w:r>
          </w:p>
        </w:tc>
      </w:tr>
      <w:tr>
        <w:trPr/>
        <w:tc>
          <w:tcPr>
            <w:tcW w:w="9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органа: Управление жилищно-коммунального хозяйства, строительства, архитектуры и благоустройства территорий администрации Жердевского муниципального округа Тамбовской области </w:t>
            </w:r>
          </w:p>
        </w:tc>
      </w:tr>
      <w:tr>
        <w:trPr/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Функции не изменяются</w:t>
            </w:r>
          </w:p>
        </w:tc>
        <w:tc>
          <w:tcPr>
            <w:tcW w:w="2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>-</w:t>
            </w:r>
          </w:p>
        </w:tc>
      </w:tr>
    </w:tbl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>
      <w:pPr>
        <w:pStyle w:val="HTM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3.9. новые, изменяющие или отменяющие ранее предусмотренные муниципальным актом обязательные требования, устанавливающие новые, изменяющие или отменяющие ранее предусмотренные муниципальным актом обязанности и запреты для субъектов предпринимательской и инвестиционной деятельности, а также устанавливающие, изменяющие или отменяющие ответственность за нарушение муниципальных актов, затрагивающих вопросы осуществления предпринимательской и иной экономической деятельности:</w:t>
      </w:r>
      <w:r>
        <w:rPr>
          <w:rFonts w:ascii="Times New Roman" w:hAnsi="Times New Roman"/>
          <w:sz w:val="24"/>
          <w:szCs w:val="24"/>
        </w:rPr>
        <w:t> </w:t>
      </w:r>
    </w:p>
    <w:p>
      <w:pPr>
        <w:pStyle w:val="HTM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9355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3118"/>
        <w:gridCol w:w="3911"/>
        <w:gridCol w:w="2326"/>
      </w:tblGrid>
      <w:tr>
        <w:trPr/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3.9.1. Группа участников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3.9.2. Описание новых положений, вводящих избыточные обязанности, запреты и ограничения для субъектов предпринимательской и иной экономической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иной экономической деятельности и бюджета Жердевского муниципального округа </w:t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3.9.3. Порядок организации исполнения обязательных требований, ответственности за нарушение муниципального акта</w:t>
            </w:r>
          </w:p>
        </w:tc>
      </w:tr>
      <w:tr>
        <w:trPr/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jc w:val="left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Юридические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и физические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лица, индивидуальные предприниматели,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орган местного самоуправления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нет</w:t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-</w:t>
            </w:r>
          </w:p>
        </w:tc>
      </w:tr>
    </w:tbl>
    <w:p>
      <w:pPr>
        <w:pStyle w:val="Normal"/>
        <w:ind w:left="0" w:right="0" w:firstLine="709"/>
        <w:jc w:val="both"/>
        <w:rPr>
          <w:rFonts w:ascii="Times New Roman" w:hAnsi="Times New Roman" w:cs="Times New Roman"/>
        </w:rPr>
      </w:pPr>
      <w:r>
        <w:rPr>
          <w:sz w:val="24"/>
          <w:szCs w:val="24"/>
        </w:rPr>
      </w:r>
    </w:p>
    <w:p>
      <w:pPr>
        <w:pStyle w:val="Normal"/>
        <w:ind w:left="0" w:right="0" w:firstLine="709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3.10. оценка расходов и доходов субъектов предпринимательской и иной экономической деятельности, связанных с необходимостью соблюдения обязательных требований либо изменением содержания обязательных требований, а также связанных с изменением или отменой ответственности:</w:t>
      </w:r>
    </w:p>
    <w:p>
      <w:pPr>
        <w:pStyle w:val="Normal"/>
        <w:ind w:left="0" w:right="0" w:firstLine="709"/>
        <w:jc w:val="both"/>
        <w:rPr>
          <w:rFonts w:ascii="Times New Roman" w:hAnsi="Times New Roman" w:cs="Times New Roman"/>
        </w:rPr>
      </w:pPr>
      <w:r>
        <w:rPr>
          <w:sz w:val="24"/>
          <w:szCs w:val="24"/>
        </w:rPr>
      </w:r>
    </w:p>
    <w:tbl>
      <w:tblPr>
        <w:tblW w:w="9355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3118"/>
        <w:gridCol w:w="2378"/>
        <w:gridCol w:w="1758"/>
        <w:gridCol w:w="2101"/>
      </w:tblGrid>
      <w:tr>
        <w:trPr/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3.10.1. Группа участников </w:t>
            </w:r>
          </w:p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(указываются данные из подпункта 3.6 сводного отчета) 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3.10.2. Описание новых, изменяющих или отменяющих обязательные требования, обязанностей и запретов, ответственность за нарушение муниципального акта (указываются данные из подпункта 3.9 сводного отчета) 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3.10.3. Описание и оценка видов расходов и доходов 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3.10.4. Источники данных </w:t>
            </w:r>
          </w:p>
        </w:tc>
      </w:tr>
      <w:tr>
        <w:trPr/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jc w:val="left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Юридические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и физические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лица, индивидуальные предприниматели,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орган местного самоуправления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нет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suppressAutoHyphens w:val="tru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Градостроительный кодекс Российской Федерации</w:t>
            </w:r>
          </w:p>
        </w:tc>
      </w:tr>
    </w:tbl>
    <w:p>
      <w:pPr>
        <w:pStyle w:val="Normal"/>
        <w:ind w:left="0" w:right="0" w:firstLine="709"/>
        <w:jc w:val="both"/>
        <w:rPr>
          <w:rFonts w:ascii="Times New Roman" w:hAnsi="Times New Roman" w:cs="Times New Roman"/>
        </w:rPr>
      </w:pPr>
      <w:r>
        <w:rPr>
          <w:sz w:val="24"/>
          <w:szCs w:val="24"/>
        </w:rPr>
      </w:r>
    </w:p>
    <w:p>
      <w:pPr>
        <w:pStyle w:val="Normal"/>
        <w:ind w:left="0" w:right="0" w:firstLine="709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3.11. риски решения проблемы предложенным способом регулирования и риски негативных последствий, в том числе возможные риски ограничения конкуренции: 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отсутствуют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HTML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3.12. предполагаемая дата вступления в силу проекта муниципального акта, необходимость установления переходных положений (переходного периода): 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июнь 2024 года, необходимость установления переходных положений отсутствует</w:t>
      </w:r>
      <w:r>
        <w:rPr>
          <w:rFonts w:cs="Times New Roman" w:ascii="Times New Roman" w:hAnsi="Times New Roman"/>
          <w:sz w:val="24"/>
          <w:szCs w:val="24"/>
          <w:lang w:val="ru-RU"/>
        </w:rPr>
        <w:t>;</w:t>
      </w:r>
    </w:p>
    <w:p>
      <w:pPr>
        <w:pStyle w:val="HTML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3.13. иные сведения, которые, по мнению разработчика проекта муниципального акта, позволяют оценить обоснованность предлагаемого регулирования: </w:t>
      </w:r>
      <w:r>
        <w:rPr>
          <w:rFonts w:cs="Times New Roman" w:ascii="Times New Roman" w:hAnsi="Times New Roman"/>
          <w:sz w:val="24"/>
          <w:szCs w:val="24"/>
          <w:u w:val="single"/>
          <w:lang w:val="ru-RU"/>
        </w:rPr>
        <w:t>отсутствуют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Указание (при наличии) на приложения: </w:t>
      </w:r>
      <w:r>
        <w:rPr>
          <w:rFonts w:cs="Times New Roman" w:ascii="Times New Roman" w:hAnsi="Times New Roman"/>
          <w:sz w:val="24"/>
          <w:szCs w:val="24"/>
          <w:u w:val="single"/>
        </w:rPr>
        <w:t>не требуется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 </w:t>
      </w:r>
    </w:p>
    <w:p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9"/>
        <w:tabs>
          <w:tab w:val="clear" w:pos="709"/>
          <w:tab w:val="right" w:pos="9355" w:leader="none"/>
        </w:tabs>
        <w:spacing w:lineRule="auto" w:line="240" w:before="0" w:after="0"/>
        <w:ind w:left="0" w:right="0" w:hanging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Заместитель главы</w:t>
      </w:r>
    </w:p>
    <w:p>
      <w:pPr>
        <w:pStyle w:val="Style19"/>
        <w:tabs>
          <w:tab w:val="clear" w:pos="709"/>
          <w:tab w:val="right" w:pos="9355" w:leader="none"/>
        </w:tabs>
        <w:spacing w:lineRule="auto" w:line="240" w:before="0" w:after="0"/>
        <w:ind w:left="0" w:right="0" w:hanging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администрации округа,</w:t>
      </w:r>
    </w:p>
    <w:p>
      <w:pPr>
        <w:pStyle w:val="Style19"/>
        <w:tabs>
          <w:tab w:val="clear" w:pos="709"/>
          <w:tab w:val="right" w:pos="9355" w:leader="none"/>
        </w:tabs>
        <w:spacing w:lineRule="auto" w:line="240" w:before="0" w:after="0"/>
        <w:ind w:left="0" w:right="0" w:hanging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начальник управления</w:t>
        <w:tab/>
        <w:t>А.Ю. Горбунов</w:t>
      </w:r>
    </w:p>
    <w:p>
      <w:pPr>
        <w:pStyle w:val="Style19"/>
        <w:tabs>
          <w:tab w:val="clear" w:pos="709"/>
          <w:tab w:val="right" w:pos="9355" w:leader="none"/>
        </w:tabs>
        <w:spacing w:lineRule="auto" w:line="240" w:before="0" w:after="0"/>
        <w:ind w:left="0" w:right="0" w:hanging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Style19"/>
        <w:tabs>
          <w:tab w:val="clear" w:pos="709"/>
          <w:tab w:val="right" w:pos="9355" w:leader="none"/>
        </w:tabs>
        <w:spacing w:lineRule="auto" w:line="240" w:before="0" w:after="0"/>
        <w:ind w:left="0" w:right="0" w:hanging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8"/>
          <w:szCs w:val="28"/>
        </w:rPr>
        <w:t>24</w:t>
      </w:r>
      <w:r>
        <w:rPr>
          <w:rFonts w:cs="Times New Roman" w:ascii="Times New Roman" w:hAnsi="Times New Roman"/>
          <w:sz w:val="28"/>
          <w:szCs w:val="28"/>
        </w:rPr>
        <w:t>.05.2024</w:t>
      </w:r>
    </w:p>
    <w:sectPr>
      <w:footnotePr>
        <w:numFmt w:val="decimal"/>
      </w:footnotePr>
      <w:type w:val="nextPage"/>
      <w:pgSz w:w="11906" w:h="16838"/>
      <w:pgMar w:left="1701" w:right="850" w:header="720" w:top="1134" w:footer="72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modern"/>
    <w:pitch w:val="default"/>
  </w:font>
  <w:font w:name="Times New Roman">
    <w:charset w:val="cc"/>
    <w:family w:val="roman"/>
    <w:pitch w:val="variable"/>
  </w:font>
  <w:font w:name="Times New Roman">
    <w:charset w:val="01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HTML"/>
        <w:jc w:val="both"/>
        <w:rPr/>
      </w:pPr>
      <w:r>
        <w:rPr>
          <w:rStyle w:val="Style14"/>
        </w:rPr>
        <w:footnoteRef/>
      </w:r>
      <w:r>
        <w:rPr>
          <w:rFonts w:cs="PT Astra Serif;Rubik" w:ascii="Times New Roman" w:hAnsi="Times New Roman"/>
          <w:sz w:val="18"/>
          <w:szCs w:val="18"/>
        </w:rPr>
        <w:t>Все разделы обязательны для заполнения проектов муниципальных актов с высокой степенью регулирующего воздействия.</w:t>
      </w:r>
    </w:p>
    <w:p>
      <w:pPr>
        <w:pStyle w:val="HTML"/>
        <w:jc w:val="both"/>
        <w:rPr>
          <w:rFonts w:ascii="Times New Roman" w:hAnsi="Times New Roman" w:cs="PT Astra Serif;Rubik"/>
          <w:sz w:val="18"/>
          <w:szCs w:val="18"/>
        </w:rPr>
      </w:pPr>
      <w:r>
        <w:rPr>
          <w:rFonts w:cs="PT Astra Serif;Rubik" w:ascii="Times New Roman" w:hAnsi="Times New Roman"/>
          <w:sz w:val="18"/>
          <w:szCs w:val="18"/>
        </w:rPr>
        <w:t>В сводном отчете для проектов муниципальных актов со средней степенью регулирующего воздействия необходимо указывать сведения, предусмотренные пунктами 1-2, подпунктами 3.1 - 3.6, 3.9 – 3.13 пункта 3.</w:t>
      </w:r>
    </w:p>
    <w:p>
      <w:pPr>
        <w:pStyle w:val="HTML"/>
        <w:jc w:val="both"/>
        <w:rPr>
          <w:rFonts w:ascii="Times New Roman" w:hAnsi="Times New Roman" w:cs="PT Astra Serif;Rubik"/>
          <w:sz w:val="18"/>
          <w:szCs w:val="18"/>
        </w:rPr>
      </w:pPr>
      <w:r>
        <w:rPr>
          <w:rFonts w:cs="PT Astra Serif;Rubik" w:ascii="Times New Roman" w:hAnsi="Times New Roman"/>
          <w:sz w:val="18"/>
          <w:szCs w:val="18"/>
        </w:rPr>
        <w:t>В сводном отчете для проектов муниципальных актов с низкой степенью регулирующего воздействия необходимо указывать сведения, предусмотренные пунктами 1-2, подпунктами 3.1, 3.2, 3.4 - 3.6, 3.12 - 3.13 пункта 3.</w:t>
      </w:r>
    </w:p>
    <w:p>
      <w:pPr>
        <w:pStyle w:val="HTM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</w:r>
    </w:p>
  </w:footnote>
</w:footnotes>
</file>

<file path=word/settings.xml><?xml version="1.0" encoding="utf-8"?>
<w:settings xmlns:w="http://schemas.openxmlformats.org/wordprocessingml/2006/main">
  <w:zoom w:percent="140"/>
  <w:defaultTabStop w:val="709"/>
  <w:footnotePr>
    <w:numFmt w:val="decimal"/>
    <w:footnote w:id="0"/>
    <w:footnote w:id="1"/>
  </w:footnotePr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 w:val="24"/>
        <w:szCs w:val="24"/>
        <w:lang w:val="ru-RU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SimSun" w:cs="Mangal"/>
      <w:color w:val="auto"/>
      <w:kern w:val="2"/>
      <w:sz w:val="24"/>
      <w:szCs w:val="24"/>
      <w:lang w:val="ru-RU" w:eastAsia="zh-CN" w:bidi="hi-IN"/>
    </w:rPr>
  </w:style>
  <w:style w:type="character" w:styleId="1">
    <w:name w:val="Знак сноски1"/>
    <w:qFormat/>
    <w:rPr>
      <w:vertAlign w:val="superscript"/>
    </w:rPr>
  </w:style>
  <w:style w:type="character" w:styleId="Style14">
    <w:name w:val="Символ сноски"/>
    <w:qFormat/>
    <w:rPr/>
  </w:style>
  <w:style w:type="character" w:styleId="Style15">
    <w:name w:val="Привязка сноски"/>
    <w:rPr>
      <w:vertAlign w:val="superscript"/>
    </w:rPr>
  </w:style>
  <w:style w:type="character" w:styleId="Style16">
    <w:name w:val="Привязка концевой сноски"/>
    <w:rPr>
      <w:vertAlign w:val="superscript"/>
    </w:rPr>
  </w:style>
  <w:style w:type="character" w:styleId="Style17">
    <w:name w:val="Символ концевой сноски"/>
    <w:qFormat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Mang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Mangal"/>
    </w:rPr>
  </w:style>
  <w:style w:type="paragraph" w:styleId="HTML">
    <w:name w:val="Стандартный HTML"/>
    <w:basedOn w:val="Normal"/>
    <w:qFormat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  <w:lang w:val="ru-RU"/>
    </w:rPr>
  </w:style>
  <w:style w:type="paragraph" w:styleId="Style23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Style24">
    <w:name w:val="Содержимое таблицы"/>
    <w:basedOn w:val="Normal"/>
    <w:qFormat/>
    <w:pPr>
      <w:suppressLineNumbers/>
    </w:pPr>
    <w:rPr/>
  </w:style>
  <w:style w:type="paragraph" w:styleId="Style25">
    <w:name w:val="Заголовок таблицы"/>
    <w:basedOn w:val="Style24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42</TotalTime>
  <Application>LibreOffice/6.2.0.3$Windows_x86 LibreOffice_project/98c6a8a1c6c7b144ce3cc729e34964b47ce25d62</Application>
  <Pages>4</Pages>
  <Words>931</Words>
  <Characters>7560</Characters>
  <CharactersWithSpaces>8453</CharactersWithSpaces>
  <Paragraphs>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2024-05-22T16:14:57Z</dcterms:created>
  <dc:creator/>
  <dc:description/>
  <dc:language>ru-RU</dc:language>
  <cp:lastModifiedBy/>
  <dcterms:modified xsi:type="dcterms:W3CDTF">2024-05-24T15:25:52Z</dcterms:modified>
  <cp:revision>3</cp:revision>
  <dc:subject/>
  <dc:title/>
</cp:coreProperties>
</file>