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TML"/>
        <w:bidi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Сводный отчет проекта муниципального нормативного правового акта</w:t>
      </w:r>
    </w:p>
    <w:p>
      <w:pPr>
        <w:pStyle w:val="HTML"/>
        <w:bidi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Разработчик проекта муниципального нормативного правового акта: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(Управление ЖКХ, архитектуры, строительства и благоустройства территорий администрации Жердевского муниципального округа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)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Вид и наименование проекта муниципального нормативного правового акта Жердевского муниципального округа (далее – муниципальный акт)</w:t>
      </w:r>
    </w:p>
    <w:p>
      <w:pPr>
        <w:pStyle w:val="HTML"/>
        <w:bidi w:val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Проект решения Совета депутатов Жердевского муниципального округа Тамбовской области «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Об утверждении Порядка проведения земляных работ на территории Жердевского муниципального округа Тамбовской области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Контактная информация исполнителя разработчика: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Ф.И.О.: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Чихачёва Елена Викторовна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Должность: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юрисконсульт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Тел.: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8 (47535) 5-18-50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Адрес электронной почты: </w:t>
      </w:r>
      <w:r>
        <w:rPr>
          <w:rFonts w:cs="Times New Roman" w:ascii="Times New Roman" w:hAnsi="Times New Roman"/>
          <w:sz w:val="26"/>
          <w:szCs w:val="26"/>
          <w:u w:val="single"/>
          <w:lang w:val="en-US"/>
        </w:rPr>
        <w:t>sovet@r35.tambov.gov.ru</w:t>
      </w:r>
    </w:p>
    <w:p>
      <w:pPr>
        <w:pStyle w:val="HTML"/>
        <w:bidi w:val="0"/>
        <w:ind w:left="0" w:right="0" w:firstLine="709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Обязательные сведения о проекте муниципального акта: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степень регулирующего воздействия проекта муниципального акта: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низкая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  <w:lang w:val="ru-RU"/>
        </w:rPr>
        <w:t>описание проблемы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>
        <w:rPr>
          <w:rFonts w:cs="Times New Roman" w:ascii="Times New Roman" w:hAnsi="Times New Roman"/>
          <w:sz w:val="26"/>
          <w:szCs w:val="26"/>
          <w:lang w:val="ru-RU"/>
        </w:rPr>
        <w:t>: н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еобходимость привидения нормативного акта в соответствие с действующим законодательством</w:t>
      </w:r>
      <w:r>
        <w:rPr>
          <w:rFonts w:cs="Times New Roman" w:ascii="Times New Roman" w:hAnsi="Times New Roman"/>
          <w:sz w:val="26"/>
          <w:szCs w:val="26"/>
          <w:lang w:val="ru-RU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цели предлагаемого регулирования и их соответствие принципам правового регулирования: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и</w:t>
      </w:r>
      <w:r>
        <w:rPr>
          <w:rFonts w:cs="Times New Roman" w:ascii="Times New Roman" w:hAnsi="Times New Roman"/>
          <w:sz w:val="26"/>
          <w:szCs w:val="26"/>
          <w:u w:val="single"/>
        </w:rPr>
        <w:t>сполнение требований законодательства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описание предлагаемого регулирования и иных возможных способов решения проблемы: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п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оряд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ок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 xml:space="preserve"> проведения земляных работ на территории Жердевского муниципального округа Тамбовской области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п</w:t>
      </w:r>
      <w:r>
        <w:rPr>
          <w:rFonts w:cs="Times New Roman" w:ascii="Times New Roman" w:hAnsi="Times New Roman"/>
          <w:sz w:val="26"/>
          <w:szCs w:val="26"/>
          <w:u w:val="single"/>
        </w:rPr>
        <w:t>редполагаемый проект затрагивает интересы всех социальных групп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предполагаемая дата вступления в силу проекта муниципального акта, необходимость установления переходных положений (переходного периода):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1 сентября 2024 года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HTML"/>
        <w:bidi w:val="0"/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иные сведения, которые, по мнению разработчика проекта муниципального акта, позволяют оценить обоснованность предлагаемого регулирования: </w:t>
      </w:r>
      <w:r>
        <w:rPr>
          <w:rFonts w:cs="Times New Roman" w:ascii="Times New Roman" w:hAnsi="Times New Roman"/>
          <w:sz w:val="26"/>
          <w:szCs w:val="26"/>
          <w:u w:val="single"/>
          <w:lang w:val="ru-RU"/>
        </w:rPr>
        <w:t>нет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HTML"/>
        <w:bidi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Style17"/>
        <w:tabs>
          <w:tab w:val="clear" w:pos="720"/>
          <w:tab w:val="right" w:pos="9355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Заместитель главы</w:t>
      </w:r>
    </w:p>
    <w:p>
      <w:pPr>
        <w:pStyle w:val="Style17"/>
        <w:tabs>
          <w:tab w:val="clear" w:pos="720"/>
          <w:tab w:val="right" w:pos="9355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администрации округа,</w:t>
      </w:r>
    </w:p>
    <w:p>
      <w:pPr>
        <w:pStyle w:val="Style17"/>
        <w:tabs>
          <w:tab w:val="clear" w:pos="720"/>
          <w:tab w:val="right" w:pos="9355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начальник управления</w:t>
        <w:tab/>
        <w:t>А.Ю. Горбунов</w:t>
      </w:r>
    </w:p>
    <w:p>
      <w:pPr>
        <w:pStyle w:val="Style17"/>
        <w:tabs>
          <w:tab w:val="clear" w:pos="720"/>
          <w:tab w:val="right" w:pos="9355" w:leader="none"/>
        </w:tabs>
        <w:bidi w:val="0"/>
        <w:spacing w:lineRule="auto" w:line="240" w:before="0" w:after="0"/>
        <w:ind w:left="0" w:right="0" w:hanging="0"/>
        <w:jc w:val="both"/>
        <w:rPr>
          <w:rFonts w:cs="Times New Roman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Style17"/>
        <w:tabs>
          <w:tab w:val="clear" w:pos="720"/>
          <w:tab w:val="right" w:pos="9355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07.05.2024</w:t>
      </w:r>
    </w:p>
    <w:p>
      <w:pPr>
        <w:pStyle w:val="HTML"/>
        <w:pageBreakBefore w:val="false"/>
        <w:bidi w:val="0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7" w:right="850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modern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1">
    <w:name w:val="Знак сноски1"/>
    <w:qFormat/>
    <w:rPr>
      <w:vertAlign w:val="superscript"/>
    </w:rPr>
  </w:style>
  <w:style w:type="character" w:styleId="Style14">
    <w:name w:val="Символ сноски"/>
    <w:qFormat/>
    <w:rPr/>
  </w:style>
  <w:style w:type="character" w:styleId="Style15">
    <w:name w:val="Footnote Reference"/>
    <w:rPr>
      <w:vertAlign w:val="superscript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HTML">
    <w:name w:val="Стандартный HTML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ru-RU"/>
    </w:rPr>
  </w:style>
  <w:style w:type="paragraph" w:styleId="Style21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NSimSun" w:cs="Mangal"/>
      <w:color w:val="000000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930</TotalTime>
  <Application>LibreOffice/7.5.1.2$Windows_X86_64 LibreOffice_project/fcbaee479e84c6cd81291587d2ee68cba099e129</Application>
  <AppVersion>15.0000</AppVersion>
  <Pages>1</Pages>
  <Words>240</Words>
  <Characters>2091</Characters>
  <CharactersWithSpaces>2311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2024-05-03T16:07:00Z</dcterms:created>
  <dc:creator>М.Н.Крючкова</dc:creator>
  <dc:description/>
  <dc:language>ru-RU</dc:language>
  <cp:lastModifiedBy/>
  <dcterms:modified xsi:type="dcterms:W3CDTF">2024-05-07T08:43:03Z</dcterms:modified>
  <cp:revision>4</cp:revision>
  <dc:subject/>
  <dc:title>АДМИНИСТРАЦИЯ</dc:title>
</cp:coreProperties>
</file>