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Сводный отчет органа — разработчика</w:t>
      </w:r>
    </w:p>
    <w:p>
      <w:pPr>
        <w:pStyle w:val="Normal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  <w:tab/>
        <w:t xml:space="preserve">1 Орган-разработчик: </w:t>
      </w:r>
      <w:r>
        <w:rPr>
          <w:b w:val="false"/>
          <w:bCs w:val="false"/>
          <w:sz w:val="28"/>
          <w:szCs w:val="28"/>
          <w:u w:val="single"/>
          <w:lang w:val="ru-RU"/>
        </w:rPr>
        <w:t xml:space="preserve">Отдел </w:t>
      </w:r>
      <w:r>
        <w:rPr>
          <w:b w:val="false"/>
          <w:bCs w:val="false"/>
          <w:sz w:val="28"/>
          <w:szCs w:val="28"/>
          <w:u w:val="single"/>
          <w:lang w:val="ru-RU"/>
        </w:rPr>
        <w:t>по развитию предпринимательства и потребительского рынка</w:t>
      </w:r>
      <w:r>
        <w:rPr>
          <w:b w:val="false"/>
          <w:bCs w:val="false"/>
          <w:sz w:val="28"/>
          <w:szCs w:val="28"/>
          <w:u w:val="single"/>
          <w:lang w:val="ru-RU"/>
        </w:rPr>
        <w:t xml:space="preserve"> администрации Жердевского </w:t>
      </w:r>
      <w:r>
        <w:rPr>
          <w:b w:val="false"/>
          <w:bCs w:val="false"/>
          <w:sz w:val="28"/>
          <w:szCs w:val="28"/>
          <w:u w:val="single"/>
          <w:lang w:val="ru-RU"/>
        </w:rPr>
        <w:t xml:space="preserve">округа </w:t>
      </w:r>
      <w:r>
        <w:rPr>
          <w:b w:val="false"/>
          <w:bCs w:val="false"/>
          <w:sz w:val="28"/>
          <w:szCs w:val="28"/>
          <w:u w:val="single"/>
          <w:lang w:val="ru-RU"/>
        </w:rPr>
        <w:t>Тамбовской области</w:t>
      </w:r>
    </w:p>
    <w:p>
      <w:pPr>
        <w:pStyle w:val="Normal"/>
        <w:jc w:val="both"/>
        <w:rPr/>
      </w:pPr>
      <w:r>
        <w:rPr>
          <w:b w:val="false"/>
          <w:bCs w:val="false"/>
          <w:sz w:val="28"/>
          <w:szCs w:val="28"/>
          <w:lang w:val="ru-RU"/>
        </w:rPr>
        <w:tab/>
        <w:t xml:space="preserve">2 Вид и наименование проекта нормативного правового акта  (далее -НПА) : </w:t>
      </w:r>
      <w:r>
        <w:rPr>
          <w:b w:val="false"/>
          <w:bCs w:val="false"/>
          <w:sz w:val="28"/>
          <w:szCs w:val="28"/>
          <w:lang w:val="ru-RU"/>
        </w:rPr>
        <w:t xml:space="preserve">проект </w:t>
      </w:r>
      <w:r>
        <w:rPr>
          <w:b w:val="false"/>
          <w:bCs w:val="false"/>
          <w:sz w:val="28"/>
          <w:szCs w:val="28"/>
          <w:u w:val="none"/>
          <w:lang w:val="ru-RU"/>
        </w:rPr>
        <w:t>п</w:t>
      </w:r>
      <w:r>
        <w:rPr>
          <w:b w:val="false"/>
          <w:bCs w:val="false"/>
          <w:sz w:val="28"/>
          <w:szCs w:val="28"/>
          <w:u w:val="none"/>
          <w:lang w:val="ru-RU"/>
        </w:rPr>
        <w:t>остановлени</w:t>
      </w:r>
      <w:r>
        <w:rPr>
          <w:b w:val="false"/>
          <w:bCs w:val="false"/>
          <w:sz w:val="28"/>
          <w:szCs w:val="28"/>
          <w:u w:val="none"/>
          <w:lang w:val="ru-RU"/>
        </w:rPr>
        <w:t>я</w:t>
      </w:r>
      <w:r>
        <w:rPr>
          <w:b w:val="false"/>
          <w:bCs w:val="false"/>
          <w:sz w:val="28"/>
          <w:szCs w:val="28"/>
          <w:u w:val="none"/>
          <w:lang w:val="ru-RU"/>
        </w:rPr>
        <w:t xml:space="preserve">  администрации Жердевского </w:t>
      </w:r>
      <w:r>
        <w:rPr>
          <w:b w:val="false"/>
          <w:bCs w:val="false"/>
          <w:sz w:val="28"/>
          <w:szCs w:val="28"/>
          <w:u w:val="none"/>
          <w:lang w:val="ru-RU"/>
        </w:rPr>
        <w:t>округа</w:t>
      </w:r>
      <w:r>
        <w:rPr>
          <w:b w:val="false"/>
          <w:bCs w:val="false"/>
          <w:sz w:val="28"/>
          <w:szCs w:val="28"/>
          <w:u w:val="none"/>
          <w:lang w:val="ru-RU"/>
        </w:rPr>
        <w:t xml:space="preserve"> Тамбовской области «</w:t>
      </w:r>
      <w:r>
        <w:rPr>
          <w:rStyle w:val="Style17"/>
          <w:rFonts w:eastAsia="Times New Roman CYR" w:cs="Times New Roman CYR"/>
          <w:strike w:val="false"/>
          <w:dstrike w:val="false"/>
          <w:color w:val="000000"/>
          <w:kern w:val="2"/>
          <w:sz w:val="28"/>
          <w:szCs w:val="28"/>
          <w:u w:val="none"/>
          <w:shd w:fill="auto" w:val="clear"/>
          <w:lang w:val="ru-RU" w:eastAsia="hi-IN"/>
        </w:rPr>
        <w:t>Об</w:t>
      </w:r>
      <w:r>
        <w:rPr>
          <w:sz w:val="28"/>
          <w:szCs w:val="28"/>
        </w:rPr>
        <w:t xml:space="preserve"> утверждении схемы размещения нестационарных торговых объектов на территории Жердевского муниципального округа</w:t>
      </w:r>
      <w:r>
        <w:rPr>
          <w:rStyle w:val="Style17"/>
          <w:rFonts w:eastAsia="Times New Roman CYR" w:cs="Times New Roman CYR"/>
          <w:strike w:val="false"/>
          <w:dstrike w:val="false"/>
          <w:color w:val="000000"/>
          <w:kern w:val="2"/>
          <w:sz w:val="28"/>
          <w:szCs w:val="28"/>
          <w:u w:val="none"/>
          <w:shd w:fill="auto" w:val="clear"/>
          <w:lang w:val="ru-RU" w:eastAsia="hi-IN"/>
        </w:rPr>
        <w:t>»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ко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нтактная информация исполнителя в органе-разработке: </w:t>
      </w:r>
    </w:p>
    <w:p>
      <w:pPr>
        <w:pStyle w:val="Normal"/>
        <w:jc w:val="both"/>
        <w:rPr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Ф.И.О.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>Завьялова Оксана Александровна</w:t>
      </w:r>
    </w:p>
    <w:p>
      <w:pPr>
        <w:pStyle w:val="Normal"/>
        <w:jc w:val="both"/>
        <w:rPr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Должность :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 xml:space="preserve">начальник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>юридического отдела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 xml:space="preserve">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 xml:space="preserve"> администрации Жердевского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single"/>
          <w:lang w:val="ru-RU" w:eastAsia="ru-RU"/>
        </w:rPr>
        <w:t>округа</w:t>
      </w:r>
    </w:p>
    <w:p>
      <w:pPr>
        <w:pStyle w:val="Normal"/>
        <w:jc w:val="both"/>
        <w:rPr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тел.: 8(47353) 5-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14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-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94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адрес электронной почты: </w:t>
      </w:r>
      <w:hyperlink r:id="rId2">
        <w:r>
          <w:rPr>
            <w:rStyle w:val="-"/>
            <w:rFonts w:eastAsia="Times New Roman"/>
            <w:b w:val="false"/>
            <w:bCs w:val="false"/>
            <w:i w:val="false"/>
            <w:iCs w:val="false"/>
            <w:color w:val="000000"/>
            <w:sz w:val="28"/>
            <w:szCs w:val="28"/>
            <w:u w:val="single"/>
            <w:lang w:val="ru-RU" w:eastAsia="ru-RU"/>
          </w:rPr>
          <w:t>urist</w:t>
        </w:r>
        <w:r>
          <w:rPr>
            <w:rStyle w:val="-"/>
            <w:b w:val="false"/>
            <w:bCs w:val="false"/>
            <w:sz w:val="28"/>
            <w:szCs w:val="28"/>
            <w:u w:val="single"/>
            <w:lang w:val="en-US"/>
          </w:rPr>
          <w:t>@r35.tambov.gov</w:t>
        </w:r>
        <w:r>
          <w:rPr>
            <w:rStyle w:val="-"/>
            <w:b w:val="false"/>
            <w:bCs w:val="false"/>
            <w:sz w:val="28"/>
            <w:szCs w:val="28"/>
            <w:u w:val="single"/>
          </w:rPr>
          <w:t>.</w:t>
        </w:r>
        <w:r>
          <w:rPr>
            <w:rStyle w:val="-"/>
            <w:rFonts w:eastAsia="Times New Roman"/>
            <w:b w:val="false"/>
            <w:bCs w:val="false"/>
            <w:i w:val="false"/>
            <w:iCs w:val="false"/>
            <w:color w:val="000000"/>
            <w:sz w:val="28"/>
            <w:szCs w:val="28"/>
            <w:u w:val="single"/>
            <w:lang w:val="en-US" w:eastAsia="ru-RU"/>
          </w:rPr>
          <w:t>ru</w:t>
        </w:r>
      </w:hyperlink>
    </w:p>
    <w:p>
      <w:pPr>
        <w:pStyle w:val="Normal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ab/>
        <w:t xml:space="preserve">3 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Обязательные сведения о проекте НПА:</w:t>
      </w:r>
    </w:p>
    <w:p>
      <w:pPr>
        <w:pStyle w:val="Normal"/>
        <w:tabs>
          <w:tab w:val="clear" w:pos="706"/>
        </w:tabs>
        <w:ind w:left="0" w:right="0" w:hanging="0"/>
        <w:jc w:val="both"/>
        <w:rPr/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en-US" w:eastAsia="ru-RU"/>
        </w:rPr>
        <w:tab/>
        <w:t xml:space="preserve">3.1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en-US" w:eastAsia="ru-RU"/>
        </w:rPr>
        <w:t>C</w:t>
      </w:r>
      <w:r>
        <w:rPr>
          <w:rStyle w:val="Style14"/>
          <w:rFonts w:eastAsia="Times New Roman" w:cs="Times New Roman"/>
          <w:color w:val="000000"/>
          <w:sz w:val="28"/>
          <w:szCs w:val="28"/>
          <w:lang w:val="en-US" w:eastAsia="ru-RU"/>
        </w:rPr>
        <w:t>тепень</w:t>
      </w:r>
      <w:r>
        <w:rPr>
          <w:rStyle w:val="Style14"/>
          <w:rFonts w:eastAsia="Times New Roman" w:cs="Times New Roman"/>
          <w:color w:val="000000"/>
          <w:sz w:val="28"/>
          <w:szCs w:val="28"/>
          <w:lang w:val="ru-RU" w:eastAsia="ru-RU"/>
        </w:rPr>
        <w:t xml:space="preserve"> регулирующего воздействия: </w:t>
      </w:r>
      <w:r>
        <w:rPr>
          <w:rStyle w:val="Style14"/>
          <w:rFonts w:eastAsia="Times New Roman" w:cs="Times New Roman"/>
          <w:color w:val="000000"/>
          <w:sz w:val="28"/>
          <w:szCs w:val="28"/>
          <w:u w:val="single"/>
          <w:lang w:val="ru-RU" w:eastAsia="ru-RU"/>
        </w:rPr>
        <w:t>низкая</w:t>
      </w:r>
    </w:p>
    <w:p>
      <w:pPr>
        <w:pStyle w:val="Normal"/>
        <w:tabs>
          <w:tab w:val="clear" w:pos="706"/>
        </w:tabs>
        <w:ind w:left="0" w:right="0" w:hanging="0"/>
        <w:jc w:val="both"/>
        <w:rPr/>
      </w:pPr>
      <w:r>
        <w:rPr>
          <w:rStyle w:val="Style14"/>
          <w:rFonts w:eastAsia="Times New Roman" w:cs="Times New Roman"/>
          <w:color w:val="000000"/>
          <w:sz w:val="28"/>
          <w:szCs w:val="28"/>
          <w:u w:val="none"/>
          <w:lang w:val="ru-RU" w:eastAsia="ru-RU"/>
        </w:rPr>
        <w:tab/>
        <w:t>3.2 Анализ опыта иных муниципальных образований в соответствующих сферах деятельности: данный анализ не предусмотрен для проектов с низкой степенью регулирующего воздействия.</w:t>
      </w:r>
    </w:p>
    <w:p>
      <w:pPr>
        <w:pStyle w:val="Normal"/>
        <w:tabs>
          <w:tab w:val="clear" w:pos="706"/>
          <w:tab w:val="left" w:pos="615" w:leader="none"/>
        </w:tabs>
        <w:ind w:left="-30" w:right="0" w:hanging="360"/>
        <w:jc w:val="both"/>
        <w:rPr/>
      </w:pP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 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ab/>
        <w:tab/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3.3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Содержание и цели предполагаемого регулирования:</w:t>
      </w:r>
    </w:p>
    <w:p>
      <w:pPr>
        <w:pStyle w:val="Normal"/>
        <w:jc w:val="both"/>
        <w:rPr/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утверждени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е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 xml:space="preserve"> схемы размещения нестационарных торговых объектов на территории Жердевского муниципального округа </w:t>
      </w: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>осуществляется в соответствии с Законом Тамбовской области от 23.12.2022 № 201-З, приказом управления по развитию промышленности и предпринимательства Тамбовской области от 26.04.2017 № 85 «Об утверждении Порядка разработки, утверждения схемы размещения нестационарных торговых объектов на территории Тамбовской области».</w:t>
      </w:r>
    </w:p>
    <w:p>
      <w:pPr>
        <w:pStyle w:val="Normal"/>
        <w:jc w:val="both"/>
        <w:rPr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ab/>
        <w:t>3.4 Сравнительный опыт иных возможных способов решения проблемы.</w:t>
      </w:r>
    </w:p>
    <w:p>
      <w:pPr>
        <w:pStyle w:val="Normal"/>
        <w:jc w:val="both"/>
        <w:rPr/>
      </w:pPr>
      <w:r>
        <w:rPr>
          <w:rFonts w:eastAsia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 w:eastAsia="ru-RU"/>
        </w:rPr>
        <w:tab/>
        <w:t>При разработке проекта изучен опыт регионов Российской Федерации который показал аналогичный способ решения.</w:t>
      </w:r>
    </w:p>
    <w:p>
      <w:pPr>
        <w:pStyle w:val="Normal"/>
        <w:tabs>
          <w:tab w:val="clear" w:pos="706"/>
        </w:tabs>
        <w:jc w:val="both"/>
        <w:rPr/>
      </w:pPr>
      <w:r>
        <w:rPr>
          <w:rStyle w:val="Style14"/>
          <w:rFonts w:eastAsia="Times New Roman" w:cs="Times New Roman"/>
          <w:color w:val="000000"/>
          <w:sz w:val="28"/>
          <w:szCs w:val="28"/>
          <w:u w:val="none"/>
          <w:lang w:val="ru-RU" w:eastAsia="ru-RU"/>
        </w:rPr>
        <w:t xml:space="preserve">     </w:t>
      </w:r>
      <w:r>
        <w:rPr>
          <w:rStyle w:val="Style14"/>
          <w:rFonts w:eastAsia="Times New Roman" w:cs="Times New Roman"/>
          <w:i w:val="false"/>
          <w:iCs w:val="false"/>
          <w:color w:val="000000"/>
          <w:sz w:val="28"/>
          <w:szCs w:val="28"/>
          <w:u w:val="none"/>
          <w:lang w:val="ru-RU" w:eastAsia="ru-RU"/>
        </w:rPr>
        <w:t>3.5 Основные группы субъектов предпринимательской и инвестиционной деятельности,  иные заинтересованные лица, включая органы государственной власти и органы местного самоуправления, интересы которых будут затронуты предлагаемым правовым регулированием, оценка  количества таких субъектов:</w:t>
      </w:r>
    </w:p>
    <w:tbl>
      <w:tblPr>
        <w:tblW w:w="9637" w:type="dxa"/>
        <w:jc w:val="left"/>
        <w:tblInd w:w="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2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suppressAutoHyphens w:val="false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3.5.1 Группа участников отношений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numPr>
                <w:ilvl w:val="0"/>
                <w:numId w:val="0"/>
              </w:numPr>
              <w:suppressAutoHyphens w:val="false"/>
              <w:ind w:left="720" w:hanging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3.5.2 Оценка количества участников отношений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numPr>
                <w:ilvl w:val="0"/>
                <w:numId w:val="0"/>
              </w:numPr>
              <w:suppressAutoHyphens w:val="false"/>
              <w:ind w:left="720" w:hanging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3.5.3 Источники данных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numPr>
                <w:ilvl w:val="0"/>
                <w:numId w:val="0"/>
              </w:numPr>
              <w:suppressAutoHyphens w:val="false"/>
              <w:ind w:left="720" w:hanging="0"/>
              <w:jc w:val="left"/>
              <w:rPr/>
            </w:pPr>
            <w:r>
              <w:rPr>
                <w:rStyle w:val="Style14"/>
                <w:rFonts w:cs="Times New Roman"/>
                <w:sz w:val="28"/>
                <w:szCs w:val="28"/>
                <w:lang w:val="ru-RU"/>
              </w:rPr>
              <w:t>Ю</w:t>
            </w:r>
            <w:r>
              <w:rPr>
                <w:rStyle w:val="Style14"/>
                <w:rFonts w:cs="Times New Roman"/>
                <w:sz w:val="28"/>
                <w:szCs w:val="28"/>
              </w:rPr>
              <w:t xml:space="preserve">ридические </w:t>
            </w:r>
            <w:r>
              <w:rPr>
                <w:rStyle w:val="Style14"/>
                <w:rFonts w:cs="Times New Roman"/>
                <w:sz w:val="28"/>
                <w:szCs w:val="28"/>
                <w:lang w:val="ru-RU"/>
              </w:rPr>
              <w:t xml:space="preserve">и физические </w:t>
            </w:r>
            <w:r>
              <w:rPr>
                <w:rStyle w:val="Style14"/>
                <w:rFonts w:cs="Times New Roman"/>
                <w:sz w:val="28"/>
                <w:szCs w:val="28"/>
              </w:rPr>
              <w:t xml:space="preserve">лица, индивидуальные предприниматели  </w:t>
            </w:r>
          </w:p>
        </w:tc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numPr>
                <w:ilvl w:val="0"/>
                <w:numId w:val="0"/>
              </w:numPr>
              <w:suppressAutoHyphens w:val="false"/>
              <w:ind w:left="720" w:hanging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неопределенный круг лиц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numPr>
                <w:ilvl w:val="0"/>
                <w:numId w:val="0"/>
              </w:numPr>
              <w:suppressAutoHyphens w:val="false"/>
              <w:ind w:left="720" w:hanging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законодательство РФ</w:t>
            </w:r>
          </w:p>
        </w:tc>
      </w:tr>
    </w:tbl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3.6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Новые функции, полномочия, обязанности и права органов местного самоуправления или сведения об их изменении, а также порядок их реализации: заполнение не предусмотрено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3.7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Оценка соответствующих расходов бюджета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Жердевского муниципального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округа (возможных  поступлений  в  него):  данная  оценка не предусмотрена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3.8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Новые или изменяющие ранее предусмотренные нормат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ивными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правовыми актами обязанности для субъектов предпринимательской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или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инвестиционной деятельности, а также устанавливающие или изменяющие ранее установленную ответственность за нарушение нормативных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правовых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актов обязанности, запрет и ограничения для субъек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т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ов предпринимательско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й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и инвестиционной деятельности, а также порядок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и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х исполнения: заполнение не предусмотрено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  <w:t xml:space="preserve">3.9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Оценка доходов и расходов субъектов предпринимательской и инвестиционной деятельности, связанных с необходимостью соблюдения установленных обязанностей либо изменением содержания таких обязанностей, а также связанных с введением или изменением ответственности: заполнение не предусмотрено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  <w:t xml:space="preserve">3.10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Риски решения проблемы предложенным способом регулирования и риски негативных последствий: существенные риски отсутствуют.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3.11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Индикаторные показатели и методы их расчета, целевые значения индикаторов по годам: заполнение не предусмотрено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3.12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Предполагаемая дата вступления в силу проекта Н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А: заполнение не предусмотрено для проектов с низкой степенью регулирующего воздействия. </w:t>
      </w:r>
    </w:p>
    <w:p>
      <w:pPr>
        <w:pStyle w:val="Normal"/>
        <w:tabs>
          <w:tab w:val="clear" w:pos="706"/>
        </w:tabs>
        <w:ind w:left="0" w:right="0" w:hanging="0"/>
        <w:jc w:val="both"/>
        <w:rPr/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  <w:t xml:space="preserve">3.13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Иные  сведения, которые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позволяют оценить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о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боснованность пред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олагаемого регулирования: отсутствуют.</w:t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</w:t>
      </w:r>
      <w:r>
        <w:rPr>
          <w:sz w:val="28"/>
          <w:szCs w:val="28"/>
          <w:lang w:val="ru-RU"/>
        </w:rPr>
        <w:t>юридического отдела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  <w:lang w:val="ru-RU"/>
        </w:rPr>
        <w:t>округа                                                                         О.А. Завьялова</w:t>
      </w:r>
      <w:r>
        <w:rPr>
          <w:sz w:val="28"/>
          <w:szCs w:val="28"/>
        </w:rPr>
        <w:t xml:space="preserve">                                                                                               </w:t>
      </w:r>
    </w:p>
    <w:sectPr>
      <w:type w:val="nextPage"/>
      <w:pgSz w:w="11905" w:h="16837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pStyle w:val="2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2">
    <w:name w:val="Heading 2"/>
    <w:basedOn w:val="Style18"/>
    <w:next w:val="Style19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Style13">
    <w:name w:val="Символ нумерации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RTFNum21">
    <w:name w:val="RTF_Num 2 1"/>
    <w:qFormat/>
    <w:rPr>
      <w:rFonts w:ascii="Symbol" w:hAnsi="Symbol" w:eastAsia="Symbol" w:cs="Symbol"/>
    </w:rPr>
  </w:style>
  <w:style w:type="character" w:styleId="Style14">
    <w:name w:val="Основной шрифт абзаца"/>
    <w:qFormat/>
    <w:rPr/>
  </w:style>
  <w:style w:type="character" w:styleId="Style15">
    <w:name w:val="FollowedHyperlink"/>
    <w:rPr>
      <w:color w:val="800000"/>
      <w:u w:val="single"/>
      <w:lang w:val="zxx" w:eastAsia="zxx" w:bidi="zxx"/>
    </w:rPr>
  </w:style>
  <w:style w:type="character" w:styleId="Style16">
    <w:name w:val="Гиперссылка"/>
    <w:basedOn w:val="Style14"/>
    <w:qFormat/>
    <w:rPr>
      <w:color w:val="0000FF"/>
      <w:u w:val="single"/>
    </w:rPr>
  </w:style>
  <w:style w:type="character" w:styleId="Style17">
    <w:name w:val="Цветовое выделение для Текст"/>
    <w:qFormat/>
    <w:rPr>
      <w:sz w:val="24"/>
    </w:rPr>
  </w:style>
  <w:style w:type="character" w:styleId="DefaultParagraphFont">
    <w:name w:val="Default Paragraph Font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Title"/>
    <w:basedOn w:val="Normal"/>
    <w:next w:val="Style19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1">
    <w:name w:val="Subtitle"/>
    <w:basedOn w:val="Style20"/>
    <w:next w:val="Style19"/>
    <w:qFormat/>
    <w:pPr>
      <w:jc w:val="center"/>
    </w:pPr>
    <w:rPr>
      <w:i/>
      <w:iCs/>
      <w:sz w:val="28"/>
      <w:szCs w:val="28"/>
    </w:rPr>
  </w:style>
  <w:style w:type="paragraph" w:styleId="Style22">
    <w:name w:val="List"/>
    <w:basedOn w:val="Style19"/>
    <w:pPr/>
    <w:rPr>
      <w:rFonts w:cs="Tahoma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Tahom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Arial" w:cs="Times New Roman"/>
      <w:color w:val="000000"/>
      <w:kern w:val="2"/>
      <w:sz w:val="24"/>
      <w:szCs w:val="24"/>
      <w:lang w:val="ru-RU" w:eastAsia="zh-CN" w:bidi="ar-SA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ru-RU" w:eastAsia="zh-CN" w:bidi="hi-IN"/>
    </w:rPr>
  </w:style>
  <w:style w:type="numbering" w:styleId="RTFNum2">
    <w:name w:val="RTF_Num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rist@r35.tambov.gov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1361</TotalTime>
  <Application>LibreOffice/7.5.1.2$Windows_X86_64 LibreOffice_project/fcbaee479e84c6cd81291587d2ee68cba099e129</Application>
  <AppVersion>15.0000</AppVersion>
  <Pages>2</Pages>
  <Words>450</Words>
  <Characters>3518</Characters>
  <CharactersWithSpaces>4151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cp:lastPrinted>2019-03-28T10:18:29Z</cp:lastPrinted>
  <dcterms:modified xsi:type="dcterms:W3CDTF">2024-04-19T10:28:35Z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