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108" w:type="dxa"/>
        <w:tblLayout w:type="fixed"/>
        <w:tblCellMar>
          <w:top w:w="0" w:type="dxa"/>
          <w:left w:w="108" w:type="dxa"/>
          <w:bottom w:w="0" w:type="dxa"/>
          <w:right w:w="108" w:type="dxa"/>
        </w:tblCellMar>
      </w:tblPr>
      <w:tblGrid>
        <w:gridCol w:w="13290"/>
      </w:tblGrid>
      <w:tr>
        <w:trPr/>
        <w:tc>
          <w:tcPr>
            <w:tcW w:w="13290" w:type="dxa"/>
            <w:tcBorders/>
          </w:tcPr>
          <w:p>
            <w:pPr>
              <w:pStyle w:val="Normal"/>
              <w:widowControl w:val="false"/>
              <w:spacing w:beforeAutospacing="0" w:before="0" w:afterAutospacing="0" w:after="0"/>
              <w:ind w:left="0" w:right="0" w:hanging="0"/>
              <w:jc w:val="right"/>
              <w:rPr>
                <w:rFonts w:ascii="Times New Roman" w:hAnsi="Times New Roman" w:eastAsia="Times New Roman" w:cs="Times New Roman"/>
                <w:sz w:val="24"/>
              </w:rPr>
            </w:pPr>
            <w:r>
              <w:rPr/>
            </w:r>
          </w:p>
        </w:tc>
      </w:tr>
    </w:tbl>
    <w:p>
      <w:pPr>
        <w:pStyle w:val="Normal"/>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vanish/>
          <w:sz w:val="24"/>
          <w:szCs w:val="24"/>
        </w:rPr>
        <w:t> </w:t>
      </w:r>
    </w:p>
    <w:tbl>
      <w:tblPr>
        <w:tblW w:w="10123" w:type="dxa"/>
        <w:jc w:val="left"/>
        <w:tblInd w:w="201" w:type="dxa"/>
        <w:tblLayout w:type="fixed"/>
        <w:tblCellMar>
          <w:top w:w="0" w:type="dxa"/>
          <w:left w:w="108" w:type="dxa"/>
          <w:bottom w:w="0" w:type="dxa"/>
          <w:right w:w="108" w:type="dxa"/>
        </w:tblCellMar>
      </w:tblPr>
      <w:tblGrid>
        <w:gridCol w:w="2530"/>
        <w:gridCol w:w="2531"/>
        <w:gridCol w:w="878"/>
        <w:gridCol w:w="222"/>
        <w:gridCol w:w="1430"/>
        <w:gridCol w:w="70"/>
        <w:gridCol w:w="2461"/>
      </w:tblGrid>
      <w:tr>
        <w:trPr>
          <w:trHeight w:val="270" w:hRule="atLeast"/>
        </w:trPr>
        <w:tc>
          <w:tcPr>
            <w:tcW w:w="5939" w:type="dxa"/>
            <w:gridSpan w:val="3"/>
            <w:tcBorders/>
            <w:vAlign w:val="bottom"/>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b/>
                <w:sz w:val="20"/>
                <w:szCs w:val="20"/>
              </w:rPr>
              <w:t>ПОЯСНИТЕЛЬНАЯ ЗАПИСКА</w:t>
            </w:r>
          </w:p>
        </w:tc>
        <w:tc>
          <w:tcPr>
            <w:tcW w:w="222" w:type="dxa"/>
            <w:tcBorders/>
            <w:vAlign w:val="bottom"/>
          </w:tcPr>
          <w:p>
            <w:pPr>
              <w:pStyle w:val="Normal"/>
              <w:widowControl w:val="false"/>
              <w:ind w:left="0" w:right="0" w:hanging="0"/>
              <w:rPr>
                <w:sz w:val="24"/>
              </w:rPr>
            </w:pPr>
            <w:r>
              <w:rPr>
                <w:sz w:val="24"/>
              </w:rPr>
            </w:r>
          </w:p>
        </w:tc>
        <w:tc>
          <w:tcPr>
            <w:tcW w:w="1500" w:type="dxa"/>
            <w:gridSpan w:val="2"/>
            <w:tcBorders/>
            <w:vAlign w:val="bottom"/>
          </w:tcPr>
          <w:p>
            <w:pPr>
              <w:pStyle w:val="Normal"/>
              <w:widowControl w:val="false"/>
              <w:ind w:left="0" w:right="0" w:hanging="0"/>
              <w:rPr>
                <w:sz w:val="24"/>
              </w:rPr>
            </w:pPr>
            <w:r>
              <w:rPr>
                <w:sz w:val="24"/>
              </w:rPr>
            </w:r>
          </w:p>
        </w:tc>
        <w:tc>
          <w:tcPr>
            <w:tcW w:w="2461" w:type="dxa"/>
            <w:tcBorders/>
            <w:vAlign w:val="bottom"/>
          </w:tcPr>
          <w:p>
            <w:pPr>
              <w:pStyle w:val="Normal"/>
              <w:widowControl w:val="false"/>
              <w:ind w:left="0" w:right="0" w:hanging="0"/>
              <w:rPr>
                <w:sz w:val="24"/>
              </w:rPr>
            </w:pPr>
            <w:r>
              <w:rPr>
                <w:sz w:val="24"/>
              </w:rPr>
            </w:r>
          </w:p>
        </w:tc>
      </w:tr>
      <w:tr>
        <w:trPr>
          <w:trHeight w:val="255" w:hRule="atLeast"/>
        </w:trPr>
        <w:tc>
          <w:tcPr>
            <w:tcW w:w="5939" w:type="dxa"/>
            <w:gridSpan w:val="3"/>
            <w:tcBorders/>
            <w:vAlign w:val="bottom"/>
          </w:tcPr>
          <w:p>
            <w:pPr>
              <w:pStyle w:val="Normal"/>
              <w:widowControl w:val="false"/>
              <w:ind w:left="0" w:right="0" w:hanging="0"/>
              <w:rPr>
                <w:sz w:val="24"/>
              </w:rPr>
            </w:pPr>
            <w:r>
              <w:rPr>
                <w:sz w:val="24"/>
              </w:rPr>
            </w:r>
          </w:p>
        </w:tc>
        <w:tc>
          <w:tcPr>
            <w:tcW w:w="222" w:type="dxa"/>
            <w:tcBorders/>
            <w:vAlign w:val="bottom"/>
          </w:tcPr>
          <w:p>
            <w:pPr>
              <w:pStyle w:val="Normal"/>
              <w:widowControl w:val="false"/>
              <w:ind w:left="0" w:right="0" w:hanging="0"/>
              <w:rPr>
                <w:sz w:val="24"/>
              </w:rPr>
            </w:pPr>
            <w:r>
              <w:rPr>
                <w:sz w:val="24"/>
              </w:rPr>
            </w:r>
          </w:p>
        </w:tc>
        <w:tc>
          <w:tcPr>
            <w:tcW w:w="1500" w:type="dxa"/>
            <w:gridSpan w:val="2"/>
            <w:tcBorders/>
            <w:vAlign w:val="bottom"/>
          </w:tcPr>
          <w:p>
            <w:pPr>
              <w:pStyle w:val="Normal"/>
              <w:widowControl w:val="false"/>
              <w:ind w:left="0" w:right="0" w:hanging="0"/>
              <w:rPr>
                <w:sz w:val="24"/>
              </w:rPr>
            </w:pPr>
            <w:r>
              <w:rPr>
                <w:sz w:val="24"/>
              </w:rPr>
            </w:r>
          </w:p>
        </w:tc>
        <w:tc>
          <w:tcPr>
            <w:tcW w:w="2461" w:type="dxa"/>
            <w:tcBorders>
              <w:top w:val="single" w:sz="8" w:space="0" w:color="000000"/>
              <w:left w:val="single" w:sz="8" w:space="0" w:color="000000"/>
              <w:bottom w:val="single" w:sz="8" w:space="0" w:color="000000"/>
              <w:right w:val="single" w:sz="8" w:space="0" w:color="000000"/>
            </w:tcBorders>
            <w:vAlign w:val="bottom"/>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18"/>
                <w:szCs w:val="18"/>
              </w:rPr>
              <w:t>КОДЫ</w:t>
            </w:r>
          </w:p>
        </w:tc>
      </w:tr>
      <w:tr>
        <w:trPr>
          <w:trHeight w:val="282" w:hRule="atLeast"/>
        </w:trPr>
        <w:tc>
          <w:tcPr>
            <w:tcW w:w="2530" w:type="dxa"/>
            <w:tcBorders/>
            <w:vAlign w:val="bottom"/>
          </w:tcPr>
          <w:p>
            <w:pPr>
              <w:pStyle w:val="Normal"/>
              <w:widowControl w:val="false"/>
              <w:ind w:left="0" w:right="0" w:hanging="0"/>
              <w:rPr>
                <w:sz w:val="24"/>
              </w:rPr>
            </w:pPr>
            <w:r>
              <w:rPr>
                <w:sz w:val="24"/>
              </w:rPr>
            </w:r>
          </w:p>
        </w:tc>
        <w:tc>
          <w:tcPr>
            <w:tcW w:w="2531" w:type="dxa"/>
            <w:tcBorders/>
            <w:vAlign w:val="bottom"/>
          </w:tcPr>
          <w:p>
            <w:pPr>
              <w:pStyle w:val="Normal"/>
              <w:widowControl w:val="false"/>
              <w:spacing w:beforeAutospacing="0" w:before="0" w:afterAutospacing="0" w:after="0"/>
              <w:ind w:left="0" w:right="0" w:hanging="0"/>
              <w:jc w:val="right"/>
              <w:rPr>
                <w:rFonts w:ascii="Times New Roman" w:hAnsi="Times New Roman" w:eastAsia="Times New Roman" w:cs="Times New Roman"/>
                <w:sz w:val="24"/>
              </w:rPr>
            </w:pPr>
            <w:r>
              <w:rPr>
                <w:rFonts w:eastAsia="Times New Roman" w:cs="Times New Roman" w:ascii="Times New Roman" w:hAnsi="Times New Roman"/>
                <w:sz w:val="18"/>
                <w:szCs w:val="18"/>
              </w:rPr>
              <w:t>Форма по ОКУД</w:t>
            </w:r>
          </w:p>
        </w:tc>
        <w:tc>
          <w:tcPr>
            <w:tcW w:w="5061" w:type="dxa"/>
            <w:gridSpan w:val="5"/>
            <w:tcBorders>
              <w:left w:val="single" w:sz="8" w:space="0" w:color="000000"/>
              <w:bottom w:val="single" w:sz="8" w:space="0" w:color="000000"/>
              <w:right w:val="single" w:sz="8" w:space="0" w:color="000000"/>
            </w:tcBorders>
            <w:vAlign w:val="bottom"/>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18"/>
                <w:szCs w:val="18"/>
              </w:rPr>
              <w:t>0503160</w:t>
            </w:r>
          </w:p>
        </w:tc>
      </w:tr>
      <w:tr>
        <w:trPr>
          <w:trHeight w:val="282" w:hRule="atLeast"/>
        </w:trPr>
        <w:tc>
          <w:tcPr>
            <w:tcW w:w="2530" w:type="dxa"/>
            <w:tcBorders/>
            <w:vAlign w:val="bottom"/>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18"/>
                <w:szCs w:val="18"/>
              </w:rPr>
              <w:t xml:space="preserve">                          </w:t>
            </w:r>
            <w:r>
              <w:rPr>
                <w:rFonts w:eastAsia="Times New Roman" w:cs="Times New Roman" w:ascii="Times New Roman" w:hAnsi="Times New Roman"/>
                <w:sz w:val="18"/>
                <w:szCs w:val="18"/>
              </w:rPr>
              <w:t>на   1 января 2025 г.</w:t>
            </w:r>
          </w:p>
        </w:tc>
        <w:tc>
          <w:tcPr>
            <w:tcW w:w="2531" w:type="dxa"/>
            <w:tcBorders/>
            <w:vAlign w:val="bottom"/>
          </w:tcPr>
          <w:p>
            <w:pPr>
              <w:pStyle w:val="Normal"/>
              <w:widowControl w:val="false"/>
              <w:spacing w:beforeAutospacing="0" w:before="0" w:afterAutospacing="0" w:after="0"/>
              <w:ind w:left="0" w:right="0" w:hanging="0"/>
              <w:jc w:val="right"/>
              <w:rPr>
                <w:rFonts w:ascii="Times New Roman" w:hAnsi="Times New Roman" w:eastAsia="Times New Roman" w:cs="Times New Roman"/>
                <w:sz w:val="24"/>
              </w:rPr>
            </w:pPr>
            <w:r>
              <w:rPr>
                <w:rFonts w:eastAsia="Times New Roman" w:cs="Times New Roman" w:ascii="Times New Roman" w:hAnsi="Times New Roman"/>
                <w:sz w:val="18"/>
                <w:szCs w:val="18"/>
              </w:rPr>
              <w:t> </w:t>
            </w:r>
            <w:r>
              <w:rPr>
                <w:rFonts w:eastAsia="Times New Roman" w:cs="Times New Roman" w:ascii="Times New Roman" w:hAnsi="Times New Roman"/>
                <w:sz w:val="18"/>
                <w:szCs w:val="18"/>
              </w:rPr>
              <w:t>Дата</w:t>
            </w:r>
          </w:p>
        </w:tc>
        <w:tc>
          <w:tcPr>
            <w:tcW w:w="5061" w:type="dxa"/>
            <w:gridSpan w:val="5"/>
            <w:tcBorders>
              <w:left w:val="single" w:sz="8" w:space="0" w:color="000000"/>
              <w:bottom w:val="single" w:sz="8" w:space="0" w:color="000000"/>
              <w:right w:val="single" w:sz="8" w:space="0" w:color="000000"/>
            </w:tcBorders>
            <w:vAlign w:val="bottom"/>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18"/>
                <w:szCs w:val="18"/>
              </w:rPr>
              <w:t>01.01.2025</w:t>
            </w:r>
          </w:p>
        </w:tc>
      </w:tr>
      <w:tr>
        <w:trPr>
          <w:trHeight w:val="300" w:hRule="atLeast"/>
        </w:trPr>
        <w:tc>
          <w:tcPr>
            <w:tcW w:w="5939" w:type="dxa"/>
            <w:gridSpan w:val="3"/>
            <w:tcBorders/>
            <w:vAlign w:val="bottom"/>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Главный распорядитель, распорядитель,</w:t>
            </w:r>
          </w:p>
        </w:tc>
        <w:tc>
          <w:tcPr>
            <w:tcW w:w="222" w:type="dxa"/>
            <w:tcBorders/>
            <w:vAlign w:val="bottom"/>
          </w:tcPr>
          <w:p>
            <w:pPr>
              <w:pStyle w:val="Normal"/>
              <w:widowControl w:val="false"/>
              <w:ind w:left="0" w:right="0" w:hanging="0"/>
              <w:rPr>
                <w:sz w:val="24"/>
              </w:rPr>
            </w:pPr>
            <w:r>
              <w:rPr>
                <w:sz w:val="24"/>
              </w:rPr>
            </w:r>
          </w:p>
        </w:tc>
        <w:tc>
          <w:tcPr>
            <w:tcW w:w="1500" w:type="dxa"/>
            <w:gridSpan w:val="2"/>
            <w:tcBorders/>
            <w:vAlign w:val="bottom"/>
          </w:tcPr>
          <w:p>
            <w:pPr>
              <w:pStyle w:val="Normal"/>
              <w:widowControl w:val="false"/>
              <w:spacing w:beforeAutospacing="0" w:before="0" w:afterAutospacing="0" w:after="0"/>
              <w:ind w:left="0" w:right="0" w:hanging="0"/>
              <w:jc w:val="right"/>
              <w:rPr>
                <w:rFonts w:ascii="Times New Roman" w:hAnsi="Times New Roman" w:eastAsia="Times New Roman" w:cs="Times New Roman"/>
                <w:sz w:val="24"/>
              </w:rPr>
            </w:pPr>
            <w:r>
              <w:rPr>
                <w:rFonts w:eastAsia="Times New Roman" w:cs="Times New Roman" w:ascii="Times New Roman" w:hAnsi="Times New Roman"/>
                <w:sz w:val="18"/>
                <w:szCs w:val="18"/>
              </w:rPr>
              <w:t>Код субъекта бюджетной отчетности</w:t>
            </w:r>
          </w:p>
        </w:tc>
        <w:tc>
          <w:tcPr>
            <w:tcW w:w="2461" w:type="dxa"/>
            <w:tcBorders>
              <w:left w:val="single" w:sz="8" w:space="0" w:color="000000"/>
              <w:right w:val="single" w:sz="8" w:space="0" w:color="000000"/>
            </w:tcBorders>
            <w:vAlign w:val="bottom"/>
          </w:tcPr>
          <w:p>
            <w:pPr>
              <w:pStyle w:val="Normal"/>
              <w:widowControl w:val="false"/>
              <w:ind w:left="0" w:right="0" w:hanging="0"/>
              <w:rPr>
                <w:sz w:val="24"/>
              </w:rPr>
            </w:pPr>
            <w:r>
              <w:rPr>
                <w:sz w:val="24"/>
              </w:rPr>
            </w:r>
          </w:p>
        </w:tc>
      </w:tr>
      <w:tr>
        <w:trPr>
          <w:trHeight w:val="195" w:hRule="atLeast"/>
        </w:trPr>
        <w:tc>
          <w:tcPr>
            <w:tcW w:w="5939" w:type="dxa"/>
            <w:gridSpan w:val="3"/>
            <w:tcBorders/>
            <w:vAlign w:val="bottom"/>
          </w:tcPr>
          <w:p>
            <w:pPr>
              <w:pStyle w:val="Normal"/>
              <w:widowControl w:val="false"/>
              <w:spacing w:lineRule="atLeast" w:line="195"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получатель бюджетных средств, главный администратор,</w:t>
            </w:r>
          </w:p>
        </w:tc>
        <w:tc>
          <w:tcPr>
            <w:tcW w:w="222" w:type="dxa"/>
            <w:tcBorders/>
            <w:vAlign w:val="bottom"/>
          </w:tcPr>
          <w:p>
            <w:pPr>
              <w:pStyle w:val="Normal"/>
              <w:widowControl w:val="false"/>
              <w:ind w:left="0" w:right="0" w:hanging="0"/>
              <w:rPr>
                <w:sz w:val="20"/>
              </w:rPr>
            </w:pPr>
            <w:r>
              <w:rPr>
                <w:sz w:val="20"/>
              </w:rPr>
            </w:r>
          </w:p>
        </w:tc>
        <w:tc>
          <w:tcPr>
            <w:tcW w:w="1500" w:type="dxa"/>
            <w:gridSpan w:val="2"/>
            <w:tcBorders/>
            <w:vAlign w:val="bottom"/>
          </w:tcPr>
          <w:p>
            <w:pPr>
              <w:pStyle w:val="Normal"/>
              <w:widowControl w:val="false"/>
              <w:ind w:left="0" w:right="0" w:hanging="0"/>
              <w:rPr>
                <w:sz w:val="20"/>
              </w:rPr>
            </w:pPr>
            <w:r>
              <w:rPr>
                <w:sz w:val="20"/>
              </w:rPr>
            </w:r>
          </w:p>
        </w:tc>
        <w:tc>
          <w:tcPr>
            <w:tcW w:w="2461" w:type="dxa"/>
            <w:tcBorders>
              <w:left w:val="single" w:sz="8" w:space="0" w:color="000000"/>
              <w:bottom w:val="single" w:sz="8" w:space="0" w:color="000000"/>
              <w:right w:val="single" w:sz="8" w:space="0" w:color="000000"/>
            </w:tcBorders>
            <w:vAlign w:val="bottom"/>
          </w:tcPr>
          <w:p>
            <w:pPr>
              <w:pStyle w:val="Normal"/>
              <w:widowControl w:val="false"/>
              <w:ind w:left="0" w:right="0" w:hanging="0"/>
              <w:rPr>
                <w:sz w:val="20"/>
              </w:rPr>
            </w:pPr>
            <w:r>
              <w:rPr>
                <w:sz w:val="20"/>
              </w:rPr>
            </w:r>
          </w:p>
        </w:tc>
      </w:tr>
      <w:tr>
        <w:trPr>
          <w:trHeight w:val="195" w:hRule="atLeast"/>
        </w:trPr>
        <w:tc>
          <w:tcPr>
            <w:tcW w:w="5939" w:type="dxa"/>
            <w:gridSpan w:val="3"/>
            <w:tcBorders/>
            <w:vAlign w:val="bottom"/>
          </w:tcPr>
          <w:p>
            <w:pPr>
              <w:pStyle w:val="Normal"/>
              <w:widowControl w:val="false"/>
              <w:spacing w:lineRule="atLeast" w:line="195"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администратор доходов бюджета,</w:t>
            </w:r>
          </w:p>
        </w:tc>
        <w:tc>
          <w:tcPr>
            <w:tcW w:w="222" w:type="dxa"/>
            <w:tcBorders/>
            <w:vAlign w:val="bottom"/>
          </w:tcPr>
          <w:p>
            <w:pPr>
              <w:pStyle w:val="Normal"/>
              <w:widowControl w:val="false"/>
              <w:ind w:left="0" w:right="0" w:hanging="0"/>
              <w:rPr>
                <w:sz w:val="20"/>
              </w:rPr>
            </w:pPr>
            <w:r>
              <w:rPr>
                <w:sz w:val="20"/>
              </w:rPr>
            </w:r>
          </w:p>
        </w:tc>
        <w:tc>
          <w:tcPr>
            <w:tcW w:w="1500" w:type="dxa"/>
            <w:gridSpan w:val="2"/>
            <w:tcBorders/>
            <w:vAlign w:val="bottom"/>
          </w:tcPr>
          <w:p>
            <w:pPr>
              <w:pStyle w:val="Normal"/>
              <w:widowControl w:val="false"/>
              <w:spacing w:lineRule="atLeast" w:line="195" w:beforeAutospacing="0" w:before="0" w:afterAutospacing="0" w:after="0"/>
              <w:ind w:left="0" w:right="0" w:hanging="0"/>
              <w:jc w:val="right"/>
              <w:rPr>
                <w:rFonts w:ascii="Times New Roman" w:hAnsi="Times New Roman" w:eastAsia="Times New Roman" w:cs="Times New Roman"/>
                <w:sz w:val="24"/>
              </w:rPr>
            </w:pPr>
            <w:r>
              <w:rPr>
                <w:rFonts w:eastAsia="Times New Roman" w:cs="Times New Roman" w:ascii="Times New Roman" w:hAnsi="Times New Roman"/>
                <w:sz w:val="18"/>
                <w:szCs w:val="18"/>
              </w:rPr>
              <w:t>по ОКПО</w:t>
            </w:r>
          </w:p>
        </w:tc>
        <w:tc>
          <w:tcPr>
            <w:tcW w:w="2461" w:type="dxa"/>
            <w:tcBorders>
              <w:left w:val="single" w:sz="8" w:space="0" w:color="000000"/>
              <w:right w:val="single" w:sz="8" w:space="0" w:color="000000"/>
            </w:tcBorders>
            <w:vAlign w:val="bottom"/>
          </w:tcPr>
          <w:p>
            <w:pPr>
              <w:pStyle w:val="Normal"/>
              <w:widowControl w:val="false"/>
              <w:ind w:left="0" w:right="0" w:hanging="0"/>
              <w:rPr>
                <w:sz w:val="20"/>
              </w:rPr>
            </w:pPr>
            <w:r>
              <w:rPr>
                <w:sz w:val="20"/>
              </w:rPr>
            </w:r>
          </w:p>
        </w:tc>
      </w:tr>
      <w:tr>
        <w:trPr>
          <w:trHeight w:val="195" w:hRule="atLeast"/>
        </w:trPr>
        <w:tc>
          <w:tcPr>
            <w:tcW w:w="5939" w:type="dxa"/>
            <w:gridSpan w:val="3"/>
            <w:tcBorders/>
            <w:vAlign w:val="bottom"/>
          </w:tcPr>
          <w:p>
            <w:pPr>
              <w:pStyle w:val="Normal"/>
              <w:widowControl w:val="false"/>
              <w:spacing w:lineRule="atLeast" w:line="195"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главный администратор, администратор</w:t>
            </w:r>
          </w:p>
        </w:tc>
        <w:tc>
          <w:tcPr>
            <w:tcW w:w="222" w:type="dxa"/>
            <w:tcBorders/>
            <w:vAlign w:val="bottom"/>
          </w:tcPr>
          <w:p>
            <w:pPr>
              <w:pStyle w:val="Normal"/>
              <w:widowControl w:val="false"/>
              <w:ind w:left="0" w:right="0" w:hanging="0"/>
              <w:rPr>
                <w:sz w:val="20"/>
              </w:rPr>
            </w:pPr>
            <w:r>
              <w:rPr>
                <w:sz w:val="20"/>
              </w:rPr>
            </w:r>
          </w:p>
        </w:tc>
        <w:tc>
          <w:tcPr>
            <w:tcW w:w="1500" w:type="dxa"/>
            <w:gridSpan w:val="2"/>
            <w:tcBorders/>
            <w:vAlign w:val="bottom"/>
          </w:tcPr>
          <w:p>
            <w:pPr>
              <w:pStyle w:val="Normal"/>
              <w:widowControl w:val="false"/>
              <w:ind w:left="0" w:right="0" w:hanging="0"/>
              <w:rPr>
                <w:sz w:val="20"/>
              </w:rPr>
            </w:pPr>
            <w:r>
              <w:rPr>
                <w:sz w:val="20"/>
              </w:rPr>
            </w:r>
          </w:p>
        </w:tc>
        <w:tc>
          <w:tcPr>
            <w:tcW w:w="2461" w:type="dxa"/>
            <w:tcBorders>
              <w:top w:val="single" w:sz="8" w:space="0" w:color="000000"/>
              <w:left w:val="single" w:sz="8" w:space="0" w:color="000000"/>
              <w:right w:val="single" w:sz="8" w:space="0" w:color="000000"/>
            </w:tcBorders>
            <w:vAlign w:val="bottom"/>
          </w:tcPr>
          <w:p>
            <w:pPr>
              <w:pStyle w:val="Normal"/>
              <w:widowControl w:val="false"/>
              <w:ind w:left="0" w:right="0" w:hanging="0"/>
              <w:rPr>
                <w:sz w:val="20"/>
              </w:rPr>
            </w:pPr>
            <w:r>
              <w:rPr>
                <w:sz w:val="20"/>
              </w:rPr>
            </w:r>
          </w:p>
        </w:tc>
      </w:tr>
      <w:tr>
        <w:trPr>
          <w:trHeight w:val="195" w:hRule="atLeast"/>
        </w:trPr>
        <w:tc>
          <w:tcPr>
            <w:tcW w:w="5939" w:type="dxa"/>
            <w:gridSpan w:val="3"/>
            <w:tcBorders/>
            <w:vAlign w:val="bottom"/>
          </w:tcPr>
          <w:p>
            <w:pPr>
              <w:pStyle w:val="Normal"/>
              <w:widowControl w:val="false"/>
              <w:spacing w:lineRule="atLeast" w:line="195"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администратор источников финансирования</w:t>
            </w:r>
          </w:p>
        </w:tc>
        <w:tc>
          <w:tcPr>
            <w:tcW w:w="222" w:type="dxa"/>
            <w:tcBorders/>
            <w:vAlign w:val="bottom"/>
          </w:tcPr>
          <w:p>
            <w:pPr>
              <w:pStyle w:val="Normal"/>
              <w:widowControl w:val="false"/>
              <w:ind w:left="0" w:right="0" w:hanging="0"/>
              <w:rPr>
                <w:sz w:val="20"/>
              </w:rPr>
            </w:pPr>
            <w:r>
              <w:rPr>
                <w:sz w:val="20"/>
              </w:rPr>
            </w:r>
          </w:p>
        </w:tc>
        <w:tc>
          <w:tcPr>
            <w:tcW w:w="1500" w:type="dxa"/>
            <w:gridSpan w:val="2"/>
            <w:tcBorders/>
            <w:vAlign w:val="bottom"/>
          </w:tcPr>
          <w:p>
            <w:pPr>
              <w:pStyle w:val="Normal"/>
              <w:widowControl w:val="false"/>
              <w:ind w:left="0" w:right="0" w:hanging="0"/>
              <w:rPr>
                <w:sz w:val="20"/>
              </w:rPr>
            </w:pPr>
            <w:r>
              <w:rPr>
                <w:sz w:val="20"/>
              </w:rPr>
            </w:r>
          </w:p>
        </w:tc>
        <w:tc>
          <w:tcPr>
            <w:tcW w:w="2461" w:type="dxa"/>
            <w:tcBorders>
              <w:left w:val="single" w:sz="8" w:space="0" w:color="000000"/>
              <w:right w:val="single" w:sz="8" w:space="0" w:color="000000"/>
            </w:tcBorders>
            <w:vAlign w:val="bottom"/>
          </w:tcPr>
          <w:p>
            <w:pPr>
              <w:pStyle w:val="Normal"/>
              <w:widowControl w:val="false"/>
              <w:ind w:left="0" w:right="0" w:hanging="0"/>
              <w:rPr>
                <w:sz w:val="20"/>
              </w:rPr>
            </w:pPr>
            <w:r>
              <w:rPr>
                <w:sz w:val="20"/>
              </w:rPr>
            </w:r>
          </w:p>
        </w:tc>
      </w:tr>
      <w:tr>
        <w:trPr/>
        <w:tc>
          <w:tcPr>
            <w:tcW w:w="2530" w:type="dxa"/>
            <w:tcBorders/>
            <w:vAlign w:val="bottom"/>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 xml:space="preserve">дефицита бюджета </w:t>
            </w:r>
            <w:r>
              <w:rPr>
                <w:rFonts w:eastAsia="Times New Roman" w:cs="Times New Roman" w:ascii="Times New Roman" w:hAnsi="Times New Roman"/>
                <w:sz w:val="18"/>
                <w:szCs w:val="18"/>
                <w:u w:val="single"/>
              </w:rPr>
              <w:t>Жердевский муниципальный округ</w:t>
            </w:r>
          </w:p>
          <w:p>
            <w:pPr>
              <w:pStyle w:val="Normal"/>
              <w:widowControl w:val="false"/>
              <w:spacing w:beforeAutospacing="0" w:before="0" w:afterAutospacing="0" w:after="0"/>
              <w:ind w:left="0" w:right="0" w:hanging="0"/>
              <w:rPr>
                <w:rFonts w:ascii="Times New Roman" w:hAnsi="Times New Roman" w:eastAsia="Times New Roman" w:cs="Times New Roman"/>
                <w:sz w:val="24"/>
              </w:rPr>
            </w:pPr>
            <w:r>
              <w:rPr/>
            </w:r>
          </w:p>
        </w:tc>
        <w:tc>
          <w:tcPr>
            <w:tcW w:w="2531" w:type="dxa"/>
            <w:tcBorders/>
            <w:vAlign w:val="bottom"/>
          </w:tcPr>
          <w:p>
            <w:pPr>
              <w:pStyle w:val="Normal"/>
              <w:widowControl w:val="false"/>
              <w:spacing w:beforeAutospacing="0" w:before="0" w:afterAutospacing="0" w:after="0"/>
              <w:ind w:left="0" w:right="0" w:hanging="0"/>
              <w:jc w:val="right"/>
              <w:rPr>
                <w:rFonts w:ascii="Times New Roman" w:hAnsi="Times New Roman" w:eastAsia="Times New Roman" w:cs="Times New Roman"/>
                <w:sz w:val="24"/>
              </w:rPr>
            </w:pPr>
            <w:r>
              <w:rPr>
                <w:rFonts w:eastAsia="Times New Roman" w:cs="Times New Roman" w:ascii="Times New Roman" w:hAnsi="Times New Roman"/>
                <w:sz w:val="18"/>
                <w:szCs w:val="18"/>
              </w:rPr>
              <w:t>Глава по БК</w:t>
            </w:r>
          </w:p>
        </w:tc>
        <w:tc>
          <w:tcPr>
            <w:tcW w:w="5061" w:type="dxa"/>
            <w:gridSpan w:val="5"/>
            <w:tcBorders>
              <w:left w:val="single" w:sz="8" w:space="0" w:color="000000"/>
              <w:bottom w:val="single" w:sz="8" w:space="0" w:color="000000"/>
              <w:right w:val="single" w:sz="8" w:space="0" w:color="000000"/>
            </w:tcBorders>
            <w:vAlign w:val="bottom"/>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18"/>
                <w:szCs w:val="18"/>
              </w:rPr>
              <w:t>509</w:t>
            </w:r>
          </w:p>
        </w:tc>
      </w:tr>
      <w:tr>
        <w:trPr>
          <w:trHeight w:val="280" w:hRule="atLeast"/>
        </w:trPr>
        <w:tc>
          <w:tcPr>
            <w:tcW w:w="5939" w:type="dxa"/>
            <w:gridSpan w:val="3"/>
            <w:tcBorders/>
            <w:vAlign w:val="bottom"/>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Наименование бюджета</w:t>
            </w:r>
          </w:p>
        </w:tc>
        <w:tc>
          <w:tcPr>
            <w:tcW w:w="222" w:type="dxa"/>
            <w:tcBorders/>
            <w:vAlign w:val="bottom"/>
          </w:tcPr>
          <w:p>
            <w:pPr>
              <w:pStyle w:val="Normal"/>
              <w:widowControl w:val="false"/>
              <w:ind w:left="0" w:right="0" w:hanging="0"/>
              <w:rPr>
                <w:sz w:val="24"/>
              </w:rPr>
            </w:pPr>
            <w:r>
              <w:rPr>
                <w:sz w:val="24"/>
              </w:rPr>
            </w:r>
          </w:p>
        </w:tc>
        <w:tc>
          <w:tcPr>
            <w:tcW w:w="1500" w:type="dxa"/>
            <w:gridSpan w:val="2"/>
            <w:tcBorders/>
            <w:vAlign w:val="bottom"/>
          </w:tcPr>
          <w:p>
            <w:pPr>
              <w:pStyle w:val="Normal"/>
              <w:widowControl w:val="false"/>
              <w:ind w:left="0" w:right="0" w:hanging="0"/>
              <w:rPr>
                <w:sz w:val="24"/>
              </w:rPr>
            </w:pPr>
            <w:r>
              <w:rPr>
                <w:sz w:val="24"/>
              </w:rPr>
            </w:r>
          </w:p>
        </w:tc>
        <w:tc>
          <w:tcPr>
            <w:tcW w:w="2461" w:type="dxa"/>
            <w:tcBorders>
              <w:left w:val="single" w:sz="8" w:space="0" w:color="000000"/>
              <w:right w:val="single" w:sz="8" w:space="0" w:color="000000"/>
            </w:tcBorders>
            <w:vAlign w:val="bottom"/>
          </w:tcPr>
          <w:p>
            <w:pPr>
              <w:pStyle w:val="Normal"/>
              <w:widowControl w:val="false"/>
              <w:ind w:left="0" w:right="0" w:hanging="0"/>
              <w:rPr>
                <w:sz w:val="24"/>
              </w:rPr>
            </w:pPr>
            <w:r>
              <w:rPr>
                <w:sz w:val="24"/>
              </w:rPr>
            </w:r>
          </w:p>
        </w:tc>
      </w:tr>
      <w:tr>
        <w:trPr>
          <w:trHeight w:val="210" w:hRule="atLeast"/>
        </w:trPr>
        <w:tc>
          <w:tcPr>
            <w:tcW w:w="2530" w:type="dxa"/>
            <w:tcBorders/>
            <w:vAlign w:val="bottom"/>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 xml:space="preserve">(публично-правового образования) </w:t>
            </w:r>
            <w:r>
              <w:rPr>
                <w:rFonts w:eastAsia="Times New Roman" w:cs="Times New Roman" w:ascii="Times New Roman" w:hAnsi="Times New Roman"/>
                <w:sz w:val="18"/>
                <w:szCs w:val="18"/>
                <w:u w:val="single"/>
              </w:rPr>
              <w:t>Бюджет муниципальных округов</w:t>
            </w:r>
          </w:p>
          <w:p>
            <w:pPr>
              <w:pStyle w:val="Normal"/>
              <w:widowControl w:val="false"/>
              <w:spacing w:lineRule="atLeast" w:line="210" w:beforeAutospacing="0" w:before="0" w:afterAutospacing="0" w:after="0"/>
              <w:ind w:left="0" w:right="0" w:hanging="0"/>
              <w:rPr>
                <w:rFonts w:ascii="Times New Roman" w:hAnsi="Times New Roman" w:eastAsia="Times New Roman" w:cs="Times New Roman"/>
                <w:sz w:val="24"/>
              </w:rPr>
            </w:pPr>
            <w:r>
              <w:rPr/>
            </w:r>
          </w:p>
        </w:tc>
        <w:tc>
          <w:tcPr>
            <w:tcW w:w="2531" w:type="dxa"/>
            <w:tcBorders/>
            <w:vAlign w:val="bottom"/>
          </w:tcPr>
          <w:p>
            <w:pPr>
              <w:pStyle w:val="Normal"/>
              <w:widowControl w:val="false"/>
              <w:spacing w:lineRule="atLeast" w:line="210" w:beforeAutospacing="0" w:before="0" w:afterAutospacing="0" w:after="0"/>
              <w:ind w:left="0" w:right="0" w:hanging="0"/>
              <w:jc w:val="right"/>
              <w:rPr>
                <w:rFonts w:ascii="Times New Roman" w:hAnsi="Times New Roman" w:eastAsia="Times New Roman" w:cs="Times New Roman"/>
                <w:sz w:val="24"/>
              </w:rPr>
            </w:pPr>
            <w:r>
              <w:rPr>
                <w:rFonts w:eastAsia="Times New Roman" w:cs="Times New Roman" w:ascii="Times New Roman" w:hAnsi="Times New Roman"/>
                <w:sz w:val="18"/>
                <w:szCs w:val="18"/>
              </w:rPr>
              <w:t>по ОКТМО</w:t>
            </w:r>
          </w:p>
        </w:tc>
        <w:tc>
          <w:tcPr>
            <w:tcW w:w="5061" w:type="dxa"/>
            <w:gridSpan w:val="5"/>
            <w:tcBorders>
              <w:left w:val="single" w:sz="8" w:space="0" w:color="000000"/>
              <w:right w:val="single" w:sz="8" w:space="0" w:color="000000"/>
            </w:tcBorders>
            <w:vAlign w:val="bottom"/>
          </w:tcPr>
          <w:p>
            <w:pPr>
              <w:pStyle w:val="Normal"/>
              <w:widowControl w:val="false"/>
              <w:spacing w:lineRule="atLeast" w:line="210"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15"/>
                <w:szCs w:val="15"/>
              </w:rPr>
              <w:t>68504000</w:t>
            </w:r>
          </w:p>
        </w:tc>
      </w:tr>
      <w:tr>
        <w:trPr>
          <w:trHeight w:val="315" w:hRule="atLeast"/>
        </w:trPr>
        <w:tc>
          <w:tcPr>
            <w:tcW w:w="5939" w:type="dxa"/>
            <w:gridSpan w:val="3"/>
            <w:tcBorders/>
            <w:vAlign w:val="bottom"/>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Периодичность:    месячная, квартальная, годовая</w:t>
            </w:r>
          </w:p>
        </w:tc>
        <w:tc>
          <w:tcPr>
            <w:tcW w:w="222" w:type="dxa"/>
            <w:tcBorders/>
            <w:vAlign w:val="bottom"/>
          </w:tcPr>
          <w:p>
            <w:pPr>
              <w:pStyle w:val="Normal"/>
              <w:widowControl w:val="false"/>
              <w:ind w:left="0" w:right="0" w:hanging="0"/>
              <w:rPr>
                <w:sz w:val="24"/>
              </w:rPr>
            </w:pPr>
            <w:r>
              <w:rPr>
                <w:sz w:val="24"/>
              </w:rPr>
            </w:r>
          </w:p>
        </w:tc>
        <w:tc>
          <w:tcPr>
            <w:tcW w:w="1500" w:type="dxa"/>
            <w:gridSpan w:val="2"/>
            <w:tcBorders/>
            <w:vAlign w:val="bottom"/>
          </w:tcPr>
          <w:p>
            <w:pPr>
              <w:pStyle w:val="Normal"/>
              <w:widowControl w:val="false"/>
              <w:ind w:left="0" w:right="0" w:hanging="0"/>
              <w:rPr>
                <w:sz w:val="24"/>
              </w:rPr>
            </w:pPr>
            <w:r>
              <w:rPr>
                <w:sz w:val="24"/>
              </w:rPr>
            </w:r>
          </w:p>
        </w:tc>
        <w:tc>
          <w:tcPr>
            <w:tcW w:w="2461" w:type="dxa"/>
            <w:tcBorders>
              <w:top w:val="single" w:sz="8" w:space="0" w:color="000000"/>
              <w:left w:val="single" w:sz="8" w:space="0" w:color="000000"/>
              <w:right w:val="single" w:sz="8" w:space="0" w:color="000000"/>
            </w:tcBorders>
            <w:vAlign w:val="bottom"/>
          </w:tcPr>
          <w:p>
            <w:pPr>
              <w:pStyle w:val="Normal"/>
              <w:widowControl w:val="false"/>
              <w:ind w:left="0" w:right="0" w:hanging="0"/>
              <w:rPr>
                <w:sz w:val="24"/>
              </w:rPr>
            </w:pPr>
            <w:r>
              <w:rPr>
                <w:sz w:val="24"/>
              </w:rPr>
            </w:r>
          </w:p>
        </w:tc>
      </w:tr>
      <w:tr>
        <w:trPr>
          <w:trHeight w:val="282" w:hRule="atLeast"/>
        </w:trPr>
        <w:tc>
          <w:tcPr>
            <w:tcW w:w="2530" w:type="dxa"/>
            <w:tcBorders/>
            <w:vAlign w:val="bottom"/>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18"/>
                <w:szCs w:val="18"/>
              </w:rPr>
              <w:t>Единица измерения: руб.</w:t>
            </w:r>
          </w:p>
        </w:tc>
        <w:tc>
          <w:tcPr>
            <w:tcW w:w="2531" w:type="dxa"/>
            <w:tcBorders/>
            <w:vAlign w:val="bottom"/>
          </w:tcPr>
          <w:p>
            <w:pPr>
              <w:pStyle w:val="Normal"/>
              <w:widowControl w:val="false"/>
              <w:ind w:left="0" w:right="0" w:hanging="0"/>
              <w:rPr>
                <w:sz w:val="24"/>
              </w:rPr>
            </w:pPr>
            <w:r>
              <w:rPr>
                <w:sz w:val="24"/>
              </w:rPr>
            </w:r>
          </w:p>
        </w:tc>
        <w:tc>
          <w:tcPr>
            <w:tcW w:w="2530" w:type="dxa"/>
            <w:gridSpan w:val="3"/>
            <w:tcBorders/>
            <w:vAlign w:val="bottom"/>
          </w:tcPr>
          <w:p>
            <w:pPr>
              <w:pStyle w:val="Normal"/>
              <w:widowControl w:val="false"/>
              <w:spacing w:beforeAutospacing="1" w:after="0"/>
              <w:ind w:left="0" w:right="0" w:hanging="0"/>
              <w:jc w:val="right"/>
              <w:rPr>
                <w:rFonts w:ascii="Times New Roman" w:hAnsi="Times New Roman" w:eastAsia="Times New Roman" w:cs="Times New Roman"/>
                <w:sz w:val="24"/>
              </w:rPr>
            </w:pPr>
            <w:r>
              <w:rPr>
                <w:rFonts w:eastAsia="Times New Roman" w:cs="Times New Roman" w:ascii="Times New Roman" w:hAnsi="Times New Roman"/>
                <w:sz w:val="18"/>
                <w:szCs w:val="18"/>
              </w:rPr>
              <w:t xml:space="preserve">    </w:t>
            </w:r>
            <w:r>
              <w:rPr>
                <w:rFonts w:eastAsia="Times New Roman" w:cs="Times New Roman" w:ascii="Times New Roman" w:hAnsi="Times New Roman"/>
                <w:sz w:val="18"/>
                <w:szCs w:val="18"/>
              </w:rPr>
              <w:t>по ОКЕИ</w:t>
            </w:r>
          </w:p>
        </w:tc>
        <w:tc>
          <w:tcPr>
            <w:tcW w:w="2531" w:type="dxa"/>
            <w:gridSpan w:val="2"/>
            <w:tcBorders>
              <w:top w:val="single" w:sz="8" w:space="0" w:color="000000"/>
              <w:left w:val="single" w:sz="8" w:space="0" w:color="000000"/>
              <w:bottom w:val="single" w:sz="8" w:space="0" w:color="000000"/>
              <w:right w:val="single" w:sz="8" w:space="0" w:color="000000"/>
            </w:tcBorders>
            <w:vAlign w:val="bottom"/>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18"/>
                <w:szCs w:val="18"/>
              </w:rPr>
              <w:t>383</w:t>
            </w:r>
          </w:p>
        </w:tc>
      </w:tr>
      <w:tr>
        <w:trPr>
          <w:trHeight w:val="282" w:hRule="exact"/>
        </w:trPr>
        <w:tc>
          <w:tcPr>
            <w:tcW w:w="2530" w:type="dxa"/>
            <w:tcBorders/>
            <w:vAlign w:val="bottom"/>
          </w:tcPr>
          <w:p>
            <w:pPr>
              <w:pStyle w:val="Normal"/>
              <w:widowControl w:val="false"/>
              <w:ind w:left="0" w:right="0" w:hanging="0"/>
              <w:rPr>
                <w:sz w:val="24"/>
              </w:rPr>
            </w:pPr>
            <w:r>
              <w:rPr>
                <w:sz w:val="24"/>
              </w:rPr>
            </w:r>
          </w:p>
        </w:tc>
        <w:tc>
          <w:tcPr>
            <w:tcW w:w="2531" w:type="dxa"/>
            <w:tcBorders/>
            <w:vAlign w:val="bottom"/>
          </w:tcPr>
          <w:p>
            <w:pPr>
              <w:pStyle w:val="Normal"/>
              <w:widowControl w:val="false"/>
              <w:ind w:left="0" w:right="0" w:hanging="0"/>
              <w:rPr>
                <w:sz w:val="24"/>
              </w:rPr>
            </w:pPr>
            <w:r>
              <w:rPr>
                <w:sz w:val="24"/>
              </w:rPr>
            </w:r>
          </w:p>
        </w:tc>
        <w:tc>
          <w:tcPr>
            <w:tcW w:w="2530" w:type="dxa"/>
            <w:gridSpan w:val="3"/>
            <w:tcBorders/>
            <w:vAlign w:val="bottom"/>
          </w:tcPr>
          <w:p>
            <w:pPr>
              <w:pStyle w:val="Normal"/>
              <w:widowControl w:val="false"/>
              <w:ind w:left="0" w:right="0" w:hanging="0"/>
              <w:rPr>
                <w:sz w:val="24"/>
              </w:rPr>
            </w:pPr>
            <w:r>
              <w:rPr>
                <w:sz w:val="24"/>
              </w:rPr>
            </w:r>
          </w:p>
        </w:tc>
        <w:tc>
          <w:tcPr>
            <w:tcW w:w="2531" w:type="dxa"/>
            <w:gridSpan w:val="2"/>
            <w:tcBorders/>
            <w:vAlign w:val="bottom"/>
          </w:tcPr>
          <w:p>
            <w:pPr>
              <w:pStyle w:val="Normal"/>
              <w:widowControl w:val="false"/>
              <w:ind w:left="0" w:right="0" w:hanging="0"/>
              <w:rPr>
                <w:sz w:val="24"/>
              </w:rPr>
            </w:pPr>
            <w:r>
              <w:rPr>
                <w:sz w:val="24"/>
              </w:rPr>
            </w:r>
          </w:p>
        </w:tc>
      </w:tr>
      <w:tr>
        <w:trPr>
          <w:trHeight w:val="282" w:hRule="exact"/>
        </w:trPr>
        <w:tc>
          <w:tcPr>
            <w:tcW w:w="10122" w:type="dxa"/>
            <w:gridSpan w:val="7"/>
            <w:tcBorders/>
            <w:vAlign w:val="bottom"/>
          </w:tcPr>
          <w:p>
            <w:pPr>
              <w:pStyle w:val="Normal"/>
              <w:widowControl w:val="false"/>
              <w:ind w:left="0" w:right="0" w:hanging="0"/>
              <w:rPr>
                <w:sz w:val="24"/>
              </w:rPr>
            </w:pPr>
            <w:r>
              <w:rPr>
                <w:sz w:val="24"/>
              </w:rPr>
            </w:r>
          </w:p>
        </w:tc>
      </w:tr>
    </w:tbl>
    <w:p>
      <w:pPr>
        <w:pStyle w:val="Normal"/>
        <w:spacing w:beforeAutospacing="0" w:before="0" w:afterAutospacing="0" w:after="0"/>
        <w:ind w:left="0" w:right="0" w:hanging="0"/>
        <w:jc w:val="center"/>
        <w:rPr>
          <w:color w:val="000000"/>
        </w:rPr>
      </w:pPr>
      <w:r>
        <w:rPr>
          <w:rFonts w:eastAsia="Calibri" w:cs="Calibri"/>
          <w:b/>
          <w:i w:val="false"/>
          <w:color w:val="000000"/>
          <w:sz w:val="28"/>
          <w:szCs w:val="28"/>
        </w:rPr>
        <w:t>Раздел 1</w:t>
      </w:r>
    </w:p>
    <w:p>
      <w:pPr>
        <w:pStyle w:val="Normal"/>
        <w:spacing w:beforeAutospacing="0" w:before="0" w:afterAutospacing="0" w:after="0"/>
        <w:ind w:left="0" w:right="0" w:hanging="0"/>
        <w:jc w:val="center"/>
        <w:rPr>
          <w:color w:val="000000"/>
        </w:rPr>
      </w:pPr>
      <w:r>
        <w:rPr>
          <w:rFonts w:eastAsia="Calibri" w:cs="Calibri"/>
          <w:b/>
          <w:i w:val="false"/>
          <w:color w:val="000000"/>
          <w:sz w:val="28"/>
          <w:szCs w:val="28"/>
        </w:rPr>
        <w:t> </w:t>
      </w:r>
    </w:p>
    <w:p>
      <w:pPr>
        <w:pStyle w:val="Normal"/>
        <w:spacing w:beforeAutospacing="0" w:before="0" w:afterAutospacing="0" w:after="0"/>
        <w:ind w:left="0" w:right="0" w:hanging="0"/>
        <w:jc w:val="center"/>
        <w:rPr>
          <w:color w:val="000000"/>
        </w:rPr>
      </w:pPr>
      <w:r>
        <w:rPr>
          <w:rFonts w:eastAsia="Calibri" w:cs="Calibri"/>
          <w:b/>
          <w:i w:val="false"/>
          <w:color w:val="000000"/>
          <w:sz w:val="28"/>
          <w:szCs w:val="28"/>
        </w:rPr>
        <w:t>Организационная структура субъекта бюджетной отчетности</w:t>
      </w:r>
    </w:p>
    <w:p>
      <w:pPr>
        <w:pStyle w:val="Normal"/>
        <w:spacing w:beforeAutospacing="0" w:before="0" w:afterAutospacing="0" w:after="0"/>
        <w:ind w:left="0" w:right="0" w:hanging="0"/>
        <w:jc w:val="center"/>
        <w:rPr>
          <w:color w:val="000000"/>
        </w:rPr>
      </w:pPr>
      <w:r>
        <w:rPr>
          <w:rFonts w:eastAsia="Calibri" w:cs="Calibri"/>
          <w:b/>
          <w:i w:val="false"/>
          <w:color w:val="000000"/>
          <w:sz w:val="28"/>
          <w:szCs w:val="28"/>
        </w:rPr>
        <w:t> </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rPr>
        <w:t>Финансовое управление администрации Жердевского муниципального округа ( далее - Управление) является органом, осуществляющим составление и организацию исполнения бюджета Жердевскогот муниципального округа. В соответствии с Положением о финансовом управлении  администарции Жердевского муниципального округа  Тамбовской области, утвержденным решением Совета депутатов Жердевского муниципального округа Тамбовской области от 22.11.2023 № 85, Управление является органом исполнительной власти Жердевского  муниципального округа, осуществляющем функции финансового органа Жердевского муниципального округа, органа внутреннего  муниципального финансового контроля, уполномоченного органа на осуществление контроля в сфере закупок товаров, работ, услуг для обеспечения муниципальных нужд Жердевского муниципального округа.Управление входит в систему органов исполнительной власти округа.</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Советом депутатов Жердевского муниципального округа Тамбовской области  принято Решение от 19 сентября 2023 года № 8 " Об отдельных вопросах правопреемства", и Решение от 21 декабря 2023 года № 123 " О ликвидации администрации Жердевского района Тамбовской  области,администрациейпоселений Жердевского района Тамбовской области и финансового отдела администрации Жердевского района Тамбовской области"</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rPr>
        <w:t>По состоянию на конец 2024 года  в Жердевском округе функционируют 27 муниципальных учреждений, в т.ч. 7 органов власти, 6 казенных учреждений и 14 бюджетных учреждений.</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Из бюджета муниципального района в бюджет муниципального округа перешло 5 казенных учреждений. В течении 2024 года :</w:t>
      </w:r>
    </w:p>
    <w:p>
      <w:pPr>
        <w:pStyle w:val="Normal"/>
        <w:spacing w:beforeAutospacing="0" w:before="0" w:afterAutospacing="0" w:after="0"/>
        <w:ind w:left="0" w:right="0" w:hanging="0"/>
        <w:jc w:val="both"/>
        <w:rPr>
          <w:color w:val="000000"/>
        </w:rPr>
      </w:pPr>
      <w:r>
        <w:rPr>
          <w:rFonts w:eastAsia="Calibri" w:cs="Calibri"/>
          <w:b/>
          <w:i w:val="false"/>
          <w:color w:val="000000"/>
          <w:sz w:val="28"/>
          <w:szCs w:val="28"/>
        </w:rPr>
        <w:t>    </w:t>
      </w:r>
      <w:r>
        <w:rPr>
          <w:rFonts w:eastAsia="Calibri" w:cs="Calibri"/>
          <w:b w:val="false"/>
          <w:i w:val="false"/>
          <w:color w:val="000000"/>
          <w:sz w:val="28"/>
          <w:szCs w:val="28"/>
        </w:rPr>
        <w:t>ликвидировано муниципальное казенное учреждение "Ресурсный центр информационно-методического обеспечения";</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созданы  муниципальное казенное учреждение "Единая дежурно-диспетчерская служба" и муниципальное казенное учреждение " Служба по содержанию и эксплуатации муниципального имущества"</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Из бюджета муниципального района в бюджет муниципального округа перешло 15 бюджетных учреждений. В течении 2024 года произошло уменьшение на 1 единицу  в связи с реорганизацией в форме присоединения муниципального бюджетного учреждения культуры " Городской дом культуры города Жердевки Жердевского муниципального округа Тамбовской области"</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В течение 2024 года было создано 7  главных распорядителей бюджетных средств:</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Администрация Жердевского муниципального округа Тамбовской области";</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Финансовое управление администрации Жердевского муниципального округа Тамбовской области";</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Совет депутатов Жердевского муниципального округа Тамбовской области";</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Контрольно- ревизионная комиссия жердевского муниципального округа Тамбовской области";</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Управление жилищно-коммунального хозяйства, строительства, архитектуры и благоустройства территорий администрации Жердевского муниицпального округа Тамбовской области";</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Управление по муниципальному  имуществу и землеустройству  администрации Жердевского муниципального округа Тамбовской области";</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Управление образования администрации Жердевского муниципального округа Тамбовской области".</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В течение 2024 года ликвидированы 16 главных распорядителей бюджетных средств.</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i w:val="false"/>
          <w:color w:val="000000"/>
          <w:sz w:val="28"/>
          <w:szCs w:val="28"/>
        </w:rPr>
        <w:t xml:space="preserve">                                                           </w:t>
      </w:r>
      <w:r>
        <w:rPr>
          <w:rFonts w:eastAsia="Calibri" w:cs="Calibri"/>
          <w:b/>
          <w:i w:val="false"/>
          <w:color w:val="000000"/>
          <w:sz w:val="28"/>
          <w:szCs w:val="28"/>
        </w:rPr>
        <w:t>Раздел 2</w:t>
      </w:r>
    </w:p>
    <w:p>
      <w:pPr>
        <w:pStyle w:val="Normal"/>
        <w:spacing w:beforeAutospacing="0" w:before="0" w:afterAutospacing="0" w:after="0"/>
        <w:ind w:left="0" w:right="0" w:hanging="0"/>
        <w:jc w:val="center"/>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0" w:afterAutospacing="0" w:after="0"/>
        <w:ind w:left="0" w:right="0" w:hanging="0"/>
        <w:jc w:val="center"/>
        <w:rPr>
          <w:color w:val="000000"/>
        </w:rPr>
      </w:pPr>
      <w:r>
        <w:rPr>
          <w:rFonts w:eastAsia="Calibri" w:cs="Calibri"/>
          <w:b/>
          <w:i w:val="false"/>
          <w:color w:val="000000"/>
          <w:sz w:val="28"/>
          <w:szCs w:val="28"/>
        </w:rPr>
        <w:t>Результаты деятельности субъекта бюджетной отчетности</w:t>
      </w:r>
    </w:p>
    <w:p>
      <w:pPr>
        <w:pStyle w:val="Normal"/>
        <w:spacing w:beforeAutospacing="0" w:before="0" w:afterAutospacing="0" w:after="0"/>
        <w:ind w:left="0" w:right="0" w:firstLine="700"/>
        <w:jc w:val="both"/>
        <w:rPr>
          <w:color w:val="000000"/>
        </w:rPr>
      </w:pPr>
      <w:r>
        <w:rPr>
          <w:rFonts w:eastAsia="Calibri" w:cs="Calibri"/>
          <w:b/>
          <w:i w:val="false"/>
          <w:color w:val="000000"/>
          <w:sz w:val="28"/>
          <w:szCs w:val="28"/>
        </w:rPr>
        <w:t> </w:t>
      </w:r>
    </w:p>
    <w:p>
      <w:pPr>
        <w:pStyle w:val="Normal"/>
        <w:spacing w:beforeAutospacing="0" w:before="0" w:afterAutospacing="0" w:after="0"/>
        <w:ind w:left="0" w:right="0" w:firstLine="700"/>
        <w:jc w:val="both"/>
        <w:rPr>
          <w:color w:val="000000"/>
        </w:rPr>
      </w:pPr>
      <w:r>
        <w:rPr>
          <w:rFonts w:eastAsia="Times New Roman" w:cs="Times New Roman" w:ascii="Times New Roman" w:hAnsi="Times New Roman"/>
          <w:b w:val="false"/>
          <w:i w:val="false"/>
          <w:color w:val="000000"/>
          <w:sz w:val="28"/>
          <w:szCs w:val="28"/>
        </w:rPr>
        <w:t>В 2024 году расходы бюджета Жердевского муниципального округа Тамбовской области, сформированные в рамках программ, составили</w:t>
        <w:br/>
        <w:t>1 228 400 820,25 руб. или 95,3% от общего объема расходов бюджета Жердевского муниципального округа Тамбовской области. Исполнение расходов бюджета Жердевского муниципального округа Тамбовской области по программам составило 1 225 499 280,72 руб. или 95,2% к уточненным бюджетным назначениям.</w:t>
      </w:r>
    </w:p>
    <w:p>
      <w:pPr>
        <w:pStyle w:val="Normal"/>
        <w:spacing w:beforeAutospacing="0" w:before="0" w:afterAutospacing="0" w:after="0"/>
        <w:ind w:left="0" w:right="0" w:firstLine="700"/>
        <w:jc w:val="both"/>
        <w:rPr>
          <w:color w:val="000000"/>
        </w:rPr>
      </w:pPr>
      <w:r>
        <w:rPr>
          <w:rFonts w:eastAsia="Times New Roman" w:cs="Times New Roman" w:ascii="Times New Roman" w:hAnsi="Times New Roman"/>
          <w:b w:val="false"/>
          <w:i w:val="false"/>
          <w:color w:val="000000"/>
          <w:sz w:val="28"/>
          <w:szCs w:val="28"/>
        </w:rPr>
        <w:t xml:space="preserve">На 1 января 2025 года муниципальный долг Жердевского муниципального округа Тамбовской области отсутствует. </w:t>
      </w:r>
    </w:p>
    <w:p>
      <w:pPr>
        <w:pStyle w:val="Normal"/>
        <w:spacing w:beforeAutospacing="1" w:afterAutospacing="1"/>
        <w:ind w:left="0" w:right="0" w:hanging="0"/>
        <w:jc w:val="both"/>
        <w:rPr>
          <w:color w:val="000000"/>
        </w:rPr>
      </w:pPr>
      <w:r>
        <w:rPr>
          <w:rFonts w:eastAsia="Times New Roman" w:cs="Times New Roman" w:ascii="Times New Roman" w:hAnsi="Times New Roman"/>
          <w:b w:val="false"/>
          <w:i w:val="false"/>
          <w:color w:val="00B050"/>
          <w:sz w:val="28"/>
          <w:szCs w:val="28"/>
        </w:rPr>
        <w:t>          </w:t>
      </w:r>
      <w:r>
        <w:rPr>
          <w:rFonts w:eastAsia="Times New Roman" w:cs="Times New Roman" w:ascii="Times New Roman" w:hAnsi="Times New Roman"/>
          <w:b w:val="false"/>
          <w:i w:val="false"/>
          <w:color w:val="000000"/>
          <w:sz w:val="28"/>
          <w:szCs w:val="28"/>
        </w:rPr>
        <w:t>В 2024 году на погашение реструктурированной задолженности по бюджетному кредиту, предоставленному из бюджета Тамбовской области в соответствии с договором от 27.12.2021 №1, направлены бюджетные ассигнования в сумме 138 971,78 рублей.</w:t>
      </w:r>
    </w:p>
    <w:p>
      <w:pPr>
        <w:pStyle w:val="Normal"/>
        <w:spacing w:beforeAutospacing="1" w:afterAutospacing="1"/>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Объем расходов на обслуживание долга министерству финансов Тамбовской области, начисленных на реструктурированную задолженность по бюджетному кредиту, в 2024 году в сумме 24,30 рублей.</w:t>
      </w:r>
    </w:p>
    <w:p>
      <w:pPr>
        <w:pStyle w:val="Normal"/>
        <w:spacing w:beforeAutospacing="1" w:afterAutospacing="1"/>
        <w:ind w:left="0" w:right="0" w:hanging="0"/>
        <w:jc w:val="both"/>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0" w:afterAutospacing="0" w:after="0"/>
        <w:ind w:left="0" w:right="0" w:hanging="0"/>
        <w:jc w:val="center"/>
        <w:rPr>
          <w:color w:val="000000"/>
        </w:rPr>
      </w:pPr>
      <w:r>
        <w:rPr>
          <w:rFonts w:eastAsia="Calibri" w:cs="Calibri"/>
          <w:b w:val="false"/>
          <w:i w:val="false"/>
          <w:color w:val="FF0000"/>
          <w:sz w:val="28"/>
          <w:szCs w:val="28"/>
        </w:rPr>
        <w:t> </w:t>
      </w:r>
      <w:r>
        <w:rPr>
          <w:rFonts w:eastAsia="Calibri" w:cs="Calibri"/>
          <w:b/>
          <w:i w:val="false"/>
          <w:color w:val="000000"/>
          <w:sz w:val="28"/>
          <w:szCs w:val="28"/>
        </w:rPr>
        <w:t>Раздел 3</w:t>
      </w:r>
    </w:p>
    <w:p>
      <w:pPr>
        <w:pStyle w:val="Normal"/>
        <w:spacing w:beforeAutospacing="0" w:before="0" w:afterAutospacing="0" w:after="0"/>
        <w:ind w:left="0" w:right="0" w:hanging="0"/>
        <w:jc w:val="center"/>
        <w:rPr>
          <w:color w:val="000000"/>
        </w:rPr>
      </w:pPr>
      <w:r>
        <w:rPr>
          <w:rFonts w:eastAsia="Calibri" w:cs="Calibri"/>
          <w:b/>
          <w:i w:val="false"/>
          <w:color w:val="000000"/>
          <w:sz w:val="28"/>
          <w:szCs w:val="28"/>
        </w:rPr>
        <w:t>Анализ отчета об исполнении бюджета субъектом бюджетной отчетности</w:t>
      </w:r>
    </w:p>
    <w:p>
      <w:pPr>
        <w:pStyle w:val="Normal"/>
        <w:spacing w:beforeAutospacing="0" w:before="0" w:afterAutospacing="0" w:after="0"/>
        <w:ind w:left="0" w:right="0" w:firstLine="700"/>
        <w:jc w:val="both"/>
        <w:rPr>
          <w:color w:val="000000"/>
        </w:rPr>
      </w:pPr>
      <w:r>
        <w:rPr>
          <w:rFonts w:eastAsia="Calibri" w:cs="Calibri"/>
          <w:b/>
          <w:i w:val="false"/>
          <w:color w:val="000000"/>
          <w:sz w:val="28"/>
          <w:szCs w:val="28"/>
        </w:rPr>
        <w:t> </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w:t>
      </w:r>
      <w:r>
        <w:rPr>
          <w:rFonts w:eastAsia="Calibri" w:cs="Calibri"/>
          <w:b w:val="false"/>
          <w:i w:val="false"/>
          <w:color w:val="000000"/>
          <w:sz w:val="28"/>
          <w:szCs w:val="28"/>
        </w:rPr>
        <w:t>Бюджет Жердевского муниципального округа Тамбовской области исполнен за 2024 г.</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xml:space="preserve">по доходам в сумме 1 272 671 142,20 руб. или 99,0% к утвержденным бюджетным назначениям; </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xml:space="preserve">по расходам в сумме 1 286 739 458,41 руб. или 99,8% к уточненным бюджетным назначениям; </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xml:space="preserve">с дефицитом в сумме 14 068 316,21 руб. </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Структура поступивших в 2024 году доходов в бюджет Жердевского муниципального округа Тамбовской области: налоговые и неналоговые доходы – 35,9%, безвозмездные поступления – 64,1%.</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В бюджет Жердевского муниципального округа Тамбовской области в отчетном году поступили налоговые и неналоговые доходы в сумме 456 853 368,92 руб., что составляет 100,0% от годовых назначений (128,4% к поступлениям за 2023 год).</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Анализ основных показателей исполнения бюджета Жердевского муниципального округа Тамбовской области за 2024 год показал, что наибольший удельный вес в налоговых и неналоговых доходах бюджета составляют: налог на доходы физических лиц (284 896 495,19 руб. – 62,4%), налоги на имущество (48 687 673,22 руб. – 10,6%), доходы от использования имущества, находящегося в государственной и муниципальной собственности (42 876 449,91 руб. – 9,4%); налоги на совокупный доход (41 556 760,11 руб. – 9,1%).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Наибольший рост поступлений отмечен по следующим доходным источникам:</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платежам при пользовании природными ресурсами – на сумму 1 060 133,72 руб. или в 3,8 раза;</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доходам от продажи материальных и нематериальных активов – на сумму 7 119 728,58 руб. или в 2,7 раза;</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государственной пошлине - на сумму 1 307 101,97 руб. или на 50,4% в связи с внесением изменений в п. 1 ст. 333.19 НК РФ (п. 45 ст. 2 Федерального закона от 08.08.2024 №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 вступил в силу 08.09.2024);</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налогам на имущество - на сумму 16 290 073,08 руб. или на 50,3%, обусловлен увеличением количества строений, помещений и сооружений, включенных в перечень, определяемый в соответствии с пунктом 7 статьи 378.2 НК РФ (отмена минимального ограничения площади для включения в перечень), а также проведением зачётов с ЕНП на КБК в счет предстоящих начислений по налогу;</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налогу на доходы физических лиц - на 67 478 309,02 руб. или на 31,0%, основным фактором, повлиявшим на прирост поступлений, является темп роста фонда оплаты труда, который зависит от уровня средней заработной платы, а также численности работников, получающих заработную плату;</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штрафам, санкциям, возмещению ущерба - на сумму 326 208,01 руб. или на 30,1%;</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налогам на совокупный доход - на сумму 7 284 545,51 руб. или на 21,3%, рост обусловлен несколькими причинами:</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увеличение сумм налога к уплате по расчётам за 2023 год и сумм авансовых платежей за I-III кварталы 2024 года, начисленных по уведомлениям об исчисленных суммах налогов, авансовых платежей по налогам, страховых взносов, по причине роста доходов от основной деятельности;</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проведение в 2023 году зачётов из переплаты по налогу на ЕНП, а также использование переплаты по налогу на 01.01.2023 путём проведения зачётов в уплату текущих начислений.</w:t>
      </w:r>
    </w:p>
    <w:p>
      <w:pPr>
        <w:pStyle w:val="Normal"/>
        <w:spacing w:beforeAutospacing="0" w:before="240" w:afterAutospacing="0" w:after="240"/>
        <w:ind w:left="0" w:right="0" w:hanging="0"/>
        <w:jc w:val="both"/>
        <w:rPr>
          <w:color w:val="000000"/>
        </w:rPr>
      </w:pPr>
      <w:r>
        <w:rPr>
          <w:rFonts w:eastAsia="Calibri" w:cs="Calibri"/>
          <w:b/>
          <w:i w:val="false"/>
          <w:color w:val="000000"/>
          <w:sz w:val="28"/>
          <w:szCs w:val="28"/>
        </w:rPr>
        <w:t>-</w:t>
      </w:r>
      <w:r>
        <w:rPr>
          <w:rFonts w:eastAsia="Calibri" w:cs="Calibri"/>
          <w:b w:val="false"/>
          <w:i w:val="false"/>
          <w:color w:val="000000"/>
          <w:sz w:val="28"/>
          <w:szCs w:val="28"/>
        </w:rPr>
        <w:t xml:space="preserve"> погашением задолженности в большем объёме по сравнению с 2023 годом.</w:t>
      </w:r>
    </w:p>
    <w:p>
      <w:pPr>
        <w:pStyle w:val="Normal"/>
        <w:spacing w:beforeAutospacing="0" w:before="240" w:afterAutospacing="0" w:after="240"/>
        <w:ind w:left="0" w:right="0" w:hanging="0"/>
        <w:jc w:val="both"/>
        <w:rPr>
          <w:color w:val="000000"/>
        </w:rPr>
      </w:pPr>
      <w:r>
        <w:rPr>
          <w:rFonts w:eastAsia="Calibri" w:cs="Calibri"/>
          <w:b/>
          <w:i w:val="false"/>
          <w:color w:val="000000"/>
          <w:sz w:val="28"/>
          <w:szCs w:val="28"/>
        </w:rPr>
        <w:t>-</w:t>
      </w:r>
      <w:r>
        <w:rPr>
          <w:rFonts w:eastAsia="Calibri" w:cs="Calibri"/>
          <w:b w:val="false"/>
          <w:i w:val="false"/>
          <w:color w:val="000000"/>
          <w:sz w:val="28"/>
          <w:szCs w:val="28"/>
        </w:rPr>
        <w:t xml:space="preserve"> перенос срока уплаты в отношении двух третей суммы налога по патенту со сроком окончания действия 31.12.2023 на 09.01.2024 года.</w:t>
      </w:r>
    </w:p>
    <w:p>
      <w:pPr>
        <w:pStyle w:val="Normal"/>
        <w:spacing w:beforeAutospacing="0" w:before="240" w:afterAutospacing="0" w:after="240"/>
        <w:ind w:left="0" w:right="0" w:hanging="0"/>
        <w:jc w:val="both"/>
        <w:rPr>
          <w:color w:val="000000"/>
        </w:rPr>
      </w:pPr>
      <w:r>
        <w:rPr>
          <w:rFonts w:eastAsia="Calibri" w:cs="Calibri"/>
          <w:b/>
          <w:i w:val="false"/>
          <w:color w:val="000000"/>
          <w:sz w:val="28"/>
          <w:szCs w:val="28"/>
        </w:rPr>
        <w:t>-</w:t>
      </w:r>
      <w:r>
        <w:rPr>
          <w:rFonts w:eastAsia="Calibri" w:cs="Calibri"/>
          <w:b w:val="false"/>
          <w:i w:val="false"/>
          <w:color w:val="000000"/>
          <w:sz w:val="28"/>
          <w:szCs w:val="28"/>
        </w:rPr>
        <w:t xml:space="preserve"> рост налогооблагаемой базы, в том числе по ИП Главе КФХ Ханбекову А.А., ИП Главе КФХ ЖУРАВЛЕВУ А.В., ИП Главе КФХ ИВОЛГИНОЙ Е.Ф., ИП Главе КФХ ЩЕРБАКОВОЙ С.Е. за счет роста доходов от реализации сельскохозяйственной продукции.</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доходам от уплаты акцизов на нефтепродукты - на сумму</w:t>
        <w:br/>
        <w:t>1 353 344,92 руб. или на 6,9% за счет увеличения объемов реализации;</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Снижение поступлений по сравнению с 2023 годом сложилось по доходам от оказания платных услуг и компенсации затрат государства - на сумму 938 959,24 руб. или на 87,4%, в связи с расторжением договоров на компенсацию затрат с ЦОКР и прокуратурой Тамбовской области.</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Так же в отчете отражены прочие неналоговые доходы в сумме               -282 394,97 рублей – возврат денежных средств на восстановление остатка на 05 лицевые счета казенных учреждений.</w:t>
      </w:r>
    </w:p>
    <w:p>
      <w:pPr>
        <w:pStyle w:val="Normal"/>
        <w:spacing w:beforeAutospacing="0" w:before="240" w:afterAutospacing="0" w:after="240"/>
        <w:ind w:left="0" w:right="0" w:hanging="0"/>
        <w:jc w:val="both"/>
        <w:rPr>
          <w:color w:val="000000"/>
        </w:rPr>
      </w:pPr>
      <w:bookmarkStart w:id="0" w:name="_GoBack"/>
      <w:bookmarkEnd w:id="0"/>
      <w:r>
        <w:rPr>
          <w:rFonts w:eastAsia="Calibri" w:cs="Calibri"/>
          <w:b w:val="false"/>
          <w:i w:val="false"/>
          <w:color w:val="000000"/>
          <w:sz w:val="28"/>
          <w:szCs w:val="28"/>
        </w:rPr>
        <w:t>Безвозмездные поступления в доходы бюджета Жердевского муниципального округа Тамбовской области в общем объеме доходов составили – 64,1% или 815 817 773 ,28 руб. (99,8% от утвержденных бюджетных назначений).</w:t>
      </w:r>
    </w:p>
    <w:p>
      <w:pPr>
        <w:pStyle w:val="Normal"/>
        <w:spacing w:beforeAutospacing="0" w:before="0" w:afterAutospacing="0" w:after="0"/>
        <w:ind w:left="0" w:right="0" w:firstLine="700"/>
        <w:jc w:val="both"/>
        <w:rPr>
          <w:color w:val="000000"/>
        </w:rPr>
      </w:pPr>
      <w:r>
        <w:rPr>
          <w:rFonts w:eastAsia="Calibri" w:cs="Calibri"/>
          <w:b w:val="false"/>
          <w:i w:val="false"/>
          <w:color w:val="000000"/>
          <w:sz w:val="28"/>
          <w:szCs w:val="28"/>
        </w:rPr>
        <w:t>Безвозмездные поступления от других бюджетов бюджетной системы Российской Федерации (из бюджета Тамбовской области) зачислены в доходы  бюджета Жердевского муниципального округа Тамбовской области в сумме 813 717 773 ,28 руб., что на 1 310 115,24 руб. меньше утвержденных бюджетных назначений (99,8% от утвержденных бюджетных назначений). Всего недопоступило в  бюджет Жердевского муниципального округа Тамбовской области 1 310 115,24 руб., в том числе:</w:t>
      </w:r>
    </w:p>
    <w:p>
      <w:pPr>
        <w:pStyle w:val="Normal"/>
        <w:spacing w:beforeAutospacing="0" w:before="0" w:afterAutospacing="0" w:after="0"/>
        <w:ind w:left="0" w:right="0" w:firstLine="700"/>
        <w:jc w:val="both"/>
        <w:rPr>
          <w:color w:val="000000"/>
        </w:rPr>
      </w:pPr>
      <w:r>
        <w:rPr>
          <w:rFonts w:eastAsia="Calibri" w:cs="Calibri"/>
          <w:b w:val="false"/>
          <w:i w:val="false"/>
          <w:color w:val="000000"/>
          <w:sz w:val="28"/>
          <w:szCs w:val="28"/>
        </w:rPr>
        <w:t>субсидия на ремонт, капитальтный ремонт автомобильных дорог общего пользования местного значения в сумме 168 900,00 руб. (предусмотрено в решение Совета депутатов Жердевского муниципального округа Тамбовской области № 119 – 8 607 800,00 руб., использовано главным администратором доходов – 8 438 900,00 руб.);</w:t>
      </w:r>
    </w:p>
    <w:p>
      <w:pPr>
        <w:pStyle w:val="Normal"/>
        <w:spacing w:beforeAutospacing="0" w:before="0" w:afterAutospacing="0" w:after="0"/>
        <w:ind w:left="0" w:right="0" w:firstLine="700"/>
        <w:jc w:val="both"/>
        <w:rPr>
          <w:color w:val="000000"/>
        </w:rPr>
      </w:pPr>
      <w:r>
        <w:rPr>
          <w:rFonts w:eastAsia="Calibri" w:cs="Calibri"/>
          <w:b w:val="false"/>
          <w:i w:val="false"/>
          <w:color w:val="000000"/>
          <w:sz w:val="28"/>
          <w:szCs w:val="28"/>
        </w:rPr>
        <w:t>субсидия на организацию  транспортного обслуживания населения на территории муниципальных образований Тамбовской области, учавствующих в пилотном проекте, направленном на стимулирование рождаемости в сумме 3 238,41 руб. (предусмотрено в решение Совета депутатов Жердевского муниципального округа Тамбовской области № 119 – 1 161 624,25 руб., использовано главным администратором доходов – 1 158 385,84 руб.);</w:t>
      </w:r>
    </w:p>
    <w:p>
      <w:pPr>
        <w:pStyle w:val="Normal"/>
        <w:spacing w:beforeAutospacing="0" w:before="0" w:afterAutospacing="0" w:after="0"/>
        <w:ind w:left="0" w:right="0" w:firstLine="700"/>
        <w:jc w:val="both"/>
        <w:rPr>
          <w:color w:val="000000"/>
        </w:rPr>
      </w:pPr>
      <w:r>
        <w:rPr>
          <w:rFonts w:eastAsia="Calibri" w:cs="Calibri"/>
          <w:b w:val="false"/>
          <w:i w:val="false"/>
          <w:color w:val="000000"/>
          <w:sz w:val="28"/>
          <w:szCs w:val="28"/>
        </w:rPr>
        <w:t>субсидия на обеспечение комплексного развития сельских территорий в сумме 39,67 руб. (предусмотрено в решение Совета депутатов Жердевского муниципального округа Тамбовской области № 119 – 11 817 598,76 руб., использовано главным администратором доходов – 11 817 559,09 руб.);</w:t>
      </w:r>
    </w:p>
    <w:p>
      <w:pPr>
        <w:pStyle w:val="Normal"/>
        <w:spacing w:beforeAutospacing="0" w:before="0" w:afterAutospacing="0" w:after="0"/>
        <w:ind w:left="0" w:right="0" w:firstLine="700"/>
        <w:jc w:val="both"/>
        <w:rPr>
          <w:color w:val="000000"/>
        </w:rPr>
      </w:pPr>
      <w:r>
        <w:rPr>
          <w:rFonts w:eastAsia="Calibri" w:cs="Calibri"/>
          <w:b w:val="false"/>
          <w:i w:val="false"/>
          <w:color w:val="000000"/>
          <w:sz w:val="28"/>
          <w:szCs w:val="28"/>
        </w:rPr>
        <w:t>субсидия на меры стимулирования обучающихся по целевому направлению по педагогическим специальностям в сумме 43 095,00 руб. (предусмотрено в решение Совета депутатов Жердевского муниципального округа Тамбовской области № 119 – 203 500,00 руб., использовано главным администратором доходов – 160 405 ,00 руб.);</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rPr>
        <w:t>субвенция на осуществление первичного воинского учета органами местного самоуправления поселений, муниципальных и городских округов в сумме 171 800 ,16 руб. (предусмотрено в решение Совета депутатов Жердевского муниципального округа Тамбовской области № 119 – 713 700,00 руб., использовано главным администратором доходов – 541 899 ,84 руб.);</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субвенция на исполнение отдельных государственных полномочий по осуществлению выплат, предусмотренных дополнительными мерами стимулирования педагогических работников, в системе дошкольного образования (ежемесячные денежные выплаты молодым специалистам)  в сумме 17 500 ,00 руб. (предусмотрено в решение Совета депутатов Жердевского муниципального округа Тамбовской области № 119 – 147 500,00 руб., использовано главным администратором доходов – 130 000 ,00 руб.);</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субвенция на осуществление полномочий по предоставлению компенсации расходов на оплату жилых помещений, отопления и освещения педагогическим работникам, руководителям, заместителям руководителей, руководителям структуры подразделений и их заместителям муниципальных образовательных организаций, работающим в сельских населенных пунктах, рабочих поселках (поселках городского типа), а также вышедшим на пенсию указанным выше категориям работников образовательных организаций, стаж работы которых в образовательных организациях сельской местности составляет не менее 10 лет  в сумме 843 200 ,00 руб. (предусмотрено в решение Совета депутатов Жердевского муниципального округа Тамбовской области № 119 – 5 335 500,00 руб., использовано главным администратором доходов – 4 492 300 ,00 руб.);</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субвенция на осуществление отдельных государственных полномочий Тамбовской области в сфере увековечения памяти погибших при защите Отечества на территории Тамбовской области  в сумме 62 342 ,00 руб. (предусмотрено в решение Совета депутатов Жердевского муниципального округа Тамбовской области № 119 – 62 342,00 руб., использовано главным администратором доходов – 0 ,00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Расходы  бюджета Жердевского муниципального округа Тамбовской области в 2024 году исполнены в сумме 1 286 739 458,41 руб., что составило 99,8% к уточненным бюджетным назначениям.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Наибольший удельный вес в расходах  бюджета Жердевского муниципального округа Тамбовской области занимают разделы: «Образование» – 31,6%, «Жилищно-коммунальное хозяйство» – 19,5%, «Национальная экономика» – 16,0%, «Общегосударственные вопросы» – 13,7%, «Охрана окружающей среды» – 9,6%, «Культура, кинематография» – 5,9%.</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Бюджет Жердевского муниципального округаТамбовской области в 2024 году исполнен с дефицитом в сумме 14 068 316,21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Остатки средств на счете бюджета по состоянию на 01.01.2025 составили 45 840 224,46 руб., из них за счет средств бюджета Жердевского округа - (-) 2 040 654,96 руб.,  целевые средства бюджета Тамбовской области - 1060,84 руб,остатки привлеченных средств составляют 47 879 818,58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По сравнению с отчетными данными по состоянию на 01.01.2024 г. остатки средств увеличились на  33 672 530,59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За 2024 год на казначейский счет 03231 " Средства местных бюджетов Российской Федерации" поступили денежные средства в сумме 659 025 813,56 руб. со следующих казначейских счетов:</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4 164 602,98 руб. со счета 03232 " Средства, поступающие во временное распоряжение получателей средств местных бюджетов Российской Федерации";</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473 980 777,03 руб  со счета 03234 " Средства бюджетных и автономных учреждений местных бюджетов Российской Федерации";</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180 880 433,55 руб.  со счета 03235 " Средства юридических лиц, не являющиеся участниками бюджетного процесса"</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Выбыли с казначейского счета 03231 " Средства местных бюджетов Российской Федерации" денежные средства в сумме 611 145 994,98 руб. со следующих казначейских счетов:</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3 763 460, 79 руб. на счет 03232 " Средства, поступающие во временное распоряжение получателей средств местных бюджетов Российской Федерации";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433 103 800, 58 руб  на счет 03234 " Средства бюджетных и автономных учреждений местных бюджетов Российской Федерации";</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174 278 733,61 руб.  на счет 03235 " Средства юридических лиц, не являющиеся участниками бюджетного процесса"</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w:t>
      </w:r>
      <w:r>
        <w:rPr>
          <w:rFonts w:eastAsia="Calibri" w:cs="Calibri"/>
          <w:b/>
          <w:i w:val="false"/>
          <w:color w:val="000000"/>
          <w:sz w:val="28"/>
          <w:szCs w:val="28"/>
        </w:rPr>
        <w:t>Раздел 4</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 </w:t>
      </w:r>
      <w:r>
        <w:rPr>
          <w:rFonts w:eastAsia="Calibri" w:cs="Calibri"/>
          <w:b/>
          <w:i w:val="false"/>
          <w:color w:val="000000"/>
          <w:sz w:val="28"/>
          <w:szCs w:val="28"/>
        </w:rPr>
        <w:t>Анализ показателей  бухгалтерской отчетности субъекта бюджетной отчетности</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 </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Справка по заключению счетов бюджетного учета отчетного финансового года ф. 0503110)</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Внутридокументный контроль</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Отсутствуют коды в справочнике соответстия аналитических счетов и кодов доходов.</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i w:val="false"/>
          <w:color w:val="000000"/>
          <w:sz w:val="28"/>
          <w:szCs w:val="28"/>
        </w:rPr>
        <w:t>Междокументный контроль</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u w:val="single"/>
        </w:rPr>
        <w:t>Проверки: 6557 и 6559</w:t>
      </w:r>
      <w:r>
        <w:rPr>
          <w:rFonts w:eastAsia="Calibri" w:cs="Calibri"/>
          <w:b w:val="false"/>
          <w:i w:val="false"/>
          <w:color w:val="000000"/>
          <w:sz w:val="28"/>
          <w:szCs w:val="28"/>
        </w:rPr>
        <w:t xml:space="preserve">  - исключенные расчеты между учреждениями внутри бюджета в сумму 487 842 803,10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u w:val="single"/>
        </w:rPr>
        <w:t>Проверка tambov_ 1394</w:t>
      </w:r>
      <w:r>
        <w:rPr>
          <w:rFonts w:eastAsia="Calibri" w:cs="Calibri"/>
          <w:b w:val="false"/>
          <w:i w:val="false"/>
          <w:color w:val="000000"/>
          <w:sz w:val="28"/>
          <w:szCs w:val="28"/>
        </w:rPr>
        <w:t xml:space="preserve">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списанная дебиторская задолженность по КОСГУ 111 ( 182 ФНС)  в сумме 506 677,07 руб. по КОСГУ 145 (  188 Министерство внутренних дел)  в сумме 10 000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на сумму операций 40141151-30305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перечисление задолженности на 05 лицевые счета казенным учреждениям в сумме 282 394,97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u w:val="single"/>
        </w:rPr>
        <w:t>Проверка tambov_ 1395</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безвозмездная передача финансовых активов по счету 20433 из муниципального района в муниципальный округ отражена   проводкой 20433 - 4010191 в сумме 593 633 804,55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перечисление задолженности на 05 лицевые счета казенным учреждениям в сумме 282 394,97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остаток целевых средств на счете 130305 на 01.01.2025 в сумме 1060,84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незавершенные расчеты   с   Министерством ТЭК и ЖКХ Тамбовской области ( глава 015) текущего характера на сумму 24 442 559,75 руб. ( 40141151) и капитального характера на сумму 4 905 005,50 руб. ( счет 40141161);</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u w:val="single"/>
        </w:rPr>
        <w:t>Проверка tambov_ 1396</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 исключенные расчеты между учреждениями внутри бюджета в сумме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487 842 803,10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u w:val="single"/>
        </w:rPr>
        <w:t>Проверка tambov_ 1418</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принятие кредиторской задолженности от поселений муниципального района по счетам:</w:t>
      </w:r>
    </w:p>
    <w:p>
      <w:pPr>
        <w:pStyle w:val="Normal"/>
        <w:spacing w:beforeAutospacing="0" w:before="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30221 в сумме 38 804,06 руб.</w:t>
      </w:r>
    </w:p>
    <w:p>
      <w:pPr>
        <w:pStyle w:val="Normal"/>
        <w:spacing w:beforeAutospacing="0" w:before="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30223 в сумме 39 067,67 руб.</w:t>
      </w:r>
    </w:p>
    <w:p>
      <w:pPr>
        <w:pStyle w:val="Normal"/>
        <w:spacing w:beforeAutospacing="0" w:before="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30225  в сумме 1 593 790,27 руб.</w:t>
      </w:r>
    </w:p>
    <w:p>
      <w:pPr>
        <w:pStyle w:val="Normal"/>
        <w:spacing w:beforeAutospacing="0" w:before="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30226 в сумме 900 577,60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 остаток средств на счете 20553  в сумме 24 442 559,76 руб.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 исключенные расчеты между учреждениями внутри бюджета в сумме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487 842 803,10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 на счете </w:t>
      </w:r>
      <w:r>
        <w:rPr>
          <w:rFonts w:eastAsia="Calibri" w:cs="Calibri"/>
          <w:b/>
          <w:i w:val="false"/>
          <w:color w:val="000000"/>
          <w:sz w:val="28"/>
          <w:szCs w:val="28"/>
        </w:rPr>
        <w:t>1 402 286</w:t>
      </w:r>
      <w:r>
        <w:rPr>
          <w:rFonts w:eastAsia="Calibri" w:cs="Calibri"/>
          <w:b w:val="false"/>
          <w:i w:val="false"/>
          <w:color w:val="000000"/>
          <w:sz w:val="28"/>
          <w:szCs w:val="28"/>
        </w:rPr>
        <w:t xml:space="preserve"> отражена беззвозмездная передача жилых помещений в собственность граждан и предоставление земельных участков в собственность бесплатно гражданам. в сумме 4 479 441,93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i w:val="false"/>
          <w:color w:val="000000"/>
          <w:sz w:val="28"/>
          <w:szCs w:val="28"/>
        </w:rPr>
        <w:t>Баланс исполнения бюджета ( ф. 0503120)</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w:t>
      </w:r>
      <w:r>
        <w:rPr>
          <w:rFonts w:eastAsia="Calibri" w:cs="Calibri"/>
          <w:b/>
          <w:i w:val="false"/>
          <w:color w:val="000000"/>
          <w:sz w:val="28"/>
          <w:szCs w:val="28"/>
        </w:rPr>
        <w:t xml:space="preserve">Внутридокументный контроль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Отклонение на средства во временном распоряжении по счету 20111000 в сумме 401 142,19 руб.</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w:t>
      </w:r>
      <w:r>
        <w:rPr>
          <w:rFonts w:eastAsia="Calibri" w:cs="Calibri"/>
          <w:b/>
          <w:i w:val="false"/>
          <w:color w:val="000000"/>
          <w:sz w:val="28"/>
          <w:szCs w:val="28"/>
        </w:rPr>
        <w:t xml:space="preserve">                                      </w:t>
      </w:r>
      <w:r>
        <w:rPr>
          <w:rFonts w:eastAsia="Calibri" w:cs="Calibri"/>
          <w:b/>
          <w:i w:val="false"/>
          <w:color w:val="000000"/>
          <w:sz w:val="28"/>
          <w:szCs w:val="28"/>
        </w:rPr>
        <w:t>Междокументный контроль</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допустимое отклонение  на строку 570 в ф. 0503130 МР в сумму</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2 177 697 553,63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перенос остатка со счета 108 на счет 106 на начало года в сумме 25 389 086 руб. Отражено в ф. 0503173G_ 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center"/>
        <w:rPr>
          <w:color w:val="000000"/>
        </w:rPr>
      </w:pPr>
      <w:r>
        <w:rPr>
          <w:rFonts w:eastAsia="Times New Roman" w:cs="Times New Roman" w:ascii="Times New Roman" w:hAnsi="Times New Roman"/>
          <w:b/>
          <w:i w:val="false"/>
          <w:color w:val="000000"/>
          <w:sz w:val="28"/>
          <w:szCs w:val="28"/>
        </w:rPr>
        <w:t>Отчет о движении денежных средств ( ф. 0503123)</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Внутридокументный контроль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Допущена ошибка при ВДК за 2023 год. Проверялся свод по главе 879 ,ВДК ошибок нет, а внутри главы 879 по МКУ " Служба по благоустройству и эксплуатации " в отчете  за 2023 год ВДК был с ошибкой, которая перешла соответственно в отчет за 2024 год ( аналогичный период прошлого года )</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Междокументный контроль</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u w:val="single"/>
        </w:rPr>
        <w:t>Проверка tambov_ 1202</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отклонение на сумму операций 121002 -140110</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u w:val="single"/>
        </w:rPr>
        <w:t>Проверка tambov_ 1238</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принята кредиторская задолженность по счету 30234 из бюджетов поселений в сумме 171 142,10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u w:val="single"/>
        </w:rPr>
        <w:t>Проверка tambov_ 1287</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отклонение  на данные Федеральной налоговой службы ( аналогичный период прошлого года) Суммы проверены.</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u w:val="single"/>
        </w:rPr>
        <w:t>Проверка tambov_ 1394</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списанная дебиторская задолженность по КОСГУ 111 ( 182 ФНС)  в сумме       506 677,07 руб. по КОСГУ 145 (  188 Министерство внутренних дел)  в сумме 10 000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остаток целевых средств на счете 130305 на 01.01.2025 в сумме 1060,84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перечисление задолженности на 05 лицевые счета казенным учреждениям в сумме 282 394,97 руб.</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u w:val="single"/>
        </w:rPr>
        <w:t>Проверка tambov_ 1418</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принятие кредиторской задолженности от поселений муниципального района по счетам:</w:t>
      </w:r>
    </w:p>
    <w:p>
      <w:pPr>
        <w:pStyle w:val="Normal"/>
        <w:spacing w:beforeAutospacing="0" w:before="0" w:afterAutospacing="0" w:after="240"/>
        <w:ind w:left="0" w:right="0" w:hanging="0"/>
        <w:jc w:val="both"/>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rPr>
        <w:t>30221 в сумме 38 804,06 руб.</w:t>
      </w:r>
    </w:p>
    <w:p>
      <w:pPr>
        <w:pStyle w:val="Normal"/>
        <w:spacing w:beforeAutospacing="0" w:before="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30223 в сумме 39 067,67 руб.</w:t>
      </w:r>
    </w:p>
    <w:p>
      <w:pPr>
        <w:pStyle w:val="Normal"/>
        <w:spacing w:beforeAutospacing="0" w:before="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30225  в сумме 1 593 790,27 руб.</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rPr>
        <w:t>30226 в сумме 900 577,60 руб.</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отклонение на обороты Дт 20553- Кт 20641 на сумму 24 442 559,76 руб. - незавершенные расчеты с Министерством ТЭК и ЖКХ;</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отклонение на внутренние расчеты внутри бюджета в сумме 487 842 803,10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на счете 1402286 отражена беззвозмездная передача жилых помещений в собственность граждан и предоставление земельных участков в собственность бесплатно гражданам. в сумме 4 479 441,93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i w:val="false"/>
          <w:color w:val="000000"/>
          <w:sz w:val="28"/>
          <w:szCs w:val="28"/>
        </w:rPr>
        <w:t xml:space="preserve"> </w:t>
      </w:r>
      <w:r>
        <w:rPr>
          <w:rFonts w:eastAsia="Calibri" w:cs="Calibri"/>
          <w:b/>
          <w:i w:val="false"/>
          <w:color w:val="000000"/>
          <w:sz w:val="28"/>
          <w:szCs w:val="28"/>
        </w:rPr>
        <w:t>Сведения о движении нефинансовых активов ( бюджетная деятельность)</w:t>
      </w:r>
    </w:p>
    <w:p>
      <w:pPr>
        <w:pStyle w:val="Normal"/>
        <w:spacing w:beforeAutospacing="0" w:before="240" w:afterAutospacing="0" w:after="240"/>
        <w:ind w:left="0" w:right="0" w:hanging="0"/>
        <w:jc w:val="both"/>
        <w:rPr>
          <w:color w:val="000000"/>
        </w:rPr>
      </w:pPr>
      <w:r>
        <w:rPr>
          <w:rFonts w:eastAsia="Calibri" w:cs="Calibri"/>
          <w:b/>
          <w:i w:val="false"/>
          <w:color w:val="000000"/>
          <w:sz w:val="28"/>
          <w:szCs w:val="28"/>
        </w:rPr>
        <w:t>           </w:t>
      </w:r>
      <w:r>
        <w:rPr>
          <w:rFonts w:eastAsia="Calibri" w:cs="Calibri"/>
          <w:b/>
          <w:i w:val="false"/>
          <w:color w:val="000000"/>
          <w:sz w:val="28"/>
          <w:szCs w:val="28"/>
        </w:rPr>
        <w:t>Сведения о движении нефинансовых активов ( по имуществу казны)</w:t>
      </w:r>
    </w:p>
    <w:p>
      <w:pPr>
        <w:pStyle w:val="Normal"/>
        <w:spacing w:beforeAutospacing="0" w:before="240" w:afterAutospacing="0" w:after="240"/>
        <w:ind w:left="0" w:right="0" w:hanging="0"/>
        <w:jc w:val="center"/>
        <w:rPr>
          <w:color w:val="000000"/>
        </w:rPr>
      </w:pPr>
      <w:r>
        <w:rPr>
          <w:rFonts w:eastAsia="Times New Roman" w:cs="Times New Roman" w:ascii="Times New Roman" w:hAnsi="Times New Roman"/>
          <w:b/>
          <w:i w:val="false"/>
          <w:color w:val="000000"/>
          <w:sz w:val="28"/>
          <w:szCs w:val="28"/>
        </w:rPr>
        <w:t>( ф. 0503168 ) </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Междокументный контроль</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u w:val="single"/>
        </w:rPr>
        <w:t xml:space="preserve">Проверка 6478 </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-отклонение на  показатели казенных учреждений, которые перешли из муниципального района в округ.</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u w:val="single"/>
        </w:rPr>
        <w:t>Проверка tambov_ 1238</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принята кредиторская задолженность по счету 30234 из бюджетов поселений в сумме 171 142,10 руб.</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u w:val="single"/>
        </w:rPr>
        <w:t>Проверка tambov_ 1391</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перенос данных со счета 108 на счет 106. Отражено в ф. 0503173.</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u w:val="single"/>
        </w:rPr>
        <w:t>Проверка tambov_ 1418</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принятие кредиторской задолженности от поселений муниципального района в окру по КОСГУ 226  на сумму 900 577,60 руб.;</w:t>
      </w:r>
    </w:p>
    <w:p>
      <w:pPr>
        <w:pStyle w:val="Normal"/>
        <w:spacing w:beforeAutospacing="0" w:before="240" w:afterAutospacing="0" w:after="240"/>
        <w:ind w:left="0" w:right="0" w:hanging="0"/>
        <w:jc w:val="left"/>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left"/>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Сведения по дебиторской и кредиторской задолженности</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(ф.0503169)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u w:val="single"/>
        </w:rPr>
        <w:t>Дебиторская задолженность</w:t>
      </w:r>
      <w:r>
        <w:rPr>
          <w:rFonts w:eastAsia="Calibri" w:cs="Calibri"/>
          <w:b w:val="false"/>
          <w:i w:val="false"/>
          <w:color w:val="000000"/>
          <w:sz w:val="28"/>
          <w:szCs w:val="28"/>
        </w:rPr>
        <w:t xml:space="preserve"> по состоянию на 01.01.2025 составила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1 500 333 620,0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По сравнению с отчетными данными по состоянию на 01.01.2024                      ( 8 364 977,02 руб.) дебиторская задолженность в целом увеличилась на сумму 1 491 968 642,98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Зачительно увеличилась дебиторская задолженность по следующим расчетам:</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по счету 1205 51 000 "Расчеты по безвозмездным поступлениям текущего характера от других бюджетов бюджетной системы Российской Федерации" на сумму 1 402 528 249,40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по счету 1 205 23 000 " Расчеты по доходам от платежей при пользовании природными ресурсами" на сумму  49 161 633,43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по счету 1 205 53 000 " Расчеты по поступлениям текущего характера в бюджеты бюджетной системы Российской Федерации " на сумму 24 442 559,76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по счету 1 205 63000 " Расчеты по поступлениям капитального характера в бюджеты бюджетной системы Российской Федерации " на сумму 4 905 005,50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Значительного уменьшения дебиторской задолженности не было. Уменьшение произошло по счету 1 205 45 000 " Расчеты по доходам от прочих сумм принудительного изьятия" на сумму 52 221,00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Просроченная дебиторская задолженность по состоянию на 01.01.2025 составила 8 690 660,24 руб. в том числе:</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8 050 625,93 руб. - по счету 1 205 11 000 " Расчеты с плательщиками налогов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 xml:space="preserve">640 034,31 руб. - по счету 1 205 45 000 " Расчеты по доходам от прочих сумм принудительного изьятия" по главе 182 " Федеральная налоговая служба " и 188"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Министерство внутренних дел Российской Федерации"</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u w:val="single"/>
        </w:rPr>
        <w:t>Кредиторская задолженность</w:t>
      </w:r>
      <w:r>
        <w:rPr>
          <w:rFonts w:eastAsia="Times New Roman" w:cs="Times New Roman" w:ascii="Times New Roman" w:hAnsi="Times New Roman"/>
          <w:b w:val="false"/>
          <w:i w:val="false"/>
          <w:color w:val="000000"/>
          <w:sz w:val="28"/>
          <w:szCs w:val="28"/>
        </w:rPr>
        <w:t xml:space="preserve"> по состоянию на 01.01.2025 составила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1 568 266 576,23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 xml:space="preserve">По сравнению с отчетными данными по состоянию на 01.01.2024 г.                    ( 18 408 585,70 руб.) кредиторская задолженность в целом увеличилась на сумму 1 549 857 990,53 руб. в связи с тем, что на начало года показатели по некоторым счетам отсутствовали.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Значительно увеличилать кредиторская задолженность по следующим счетам:       по счету 1 302 75 000 "Расчеты по приобретению иных финансовых активов" на сумму 47 879 818,58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по счету 1 302 11 000 " Расчеты по заработной плате" на сумму 7 298 148,60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по счету 1 303 15 000 " Расчеты по единому страховому тарифу "    на сумму 5 775 353,94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по счету 1 302 24 000 " Расчеты по арендной плате по пользованию имуществом" на сумму 2 039 324,27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 xml:space="preserve">по счету 1 401 60 000 " Резервы предстоящих расходов" на сумму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2 2 36 006,42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по счету 1 401 40 000 " Доходы будущих периодов"  на сумму 1 483 111 495,85 руб. в связи с тем, что показатели на начало 2024 года отсутствовали.</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Уменьшение кредиторской задолженности произошло по следующим счетам:</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по счету  1 302 22 000 " Расчеты по транспортным услугам"    на сумму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1 773 750,00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по счету 1 302 25 000 " Расчеты по работам, услугам по содержанию имущества"    на сумму 1 345 889,96 руб.</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i w:val="false"/>
          <w:color w:val="000000"/>
          <w:sz w:val="28"/>
          <w:szCs w:val="28"/>
        </w:rPr>
        <w:t>Внутридокументный контроль</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i w:val="false"/>
          <w:color w:val="000000"/>
          <w:sz w:val="28"/>
          <w:szCs w:val="28"/>
          <w:u w:val="single"/>
        </w:rPr>
        <w:t>Форма 0503169 БД</w:t>
      </w:r>
    </w:p>
    <w:p>
      <w:pPr>
        <w:pStyle w:val="Normal"/>
        <w:spacing w:beforeAutospacing="0" w:before="240" w:afterAutospacing="0" w:after="240"/>
        <w:ind w:left="0" w:right="0" w:hanging="0"/>
        <w:jc w:val="left"/>
        <w:rPr>
          <w:color w:val="000000"/>
        </w:rPr>
      </w:pPr>
      <w:r>
        <w:rPr>
          <w:rFonts w:eastAsia="Times New Roman" w:cs="Times New Roman" w:ascii="Times New Roman" w:hAnsi="Times New Roman"/>
          <w:b/>
          <w:i w:val="false"/>
          <w:color w:val="000000"/>
          <w:sz w:val="28"/>
          <w:szCs w:val="28"/>
        </w:rPr>
        <w:t>-  </w:t>
      </w:r>
      <w:r>
        <w:rPr>
          <w:rFonts w:eastAsia="Times New Roman" w:cs="Times New Roman" w:ascii="Times New Roman" w:hAnsi="Times New Roman"/>
          <w:b w:val="false"/>
          <w:i w:val="false"/>
          <w:color w:val="000000"/>
          <w:sz w:val="28"/>
          <w:szCs w:val="28"/>
        </w:rPr>
        <w:t>наличие показателей с кодом элемента бюджета 10 и 13 по главе 182        Федеральная налоговая служба";</w:t>
      </w:r>
    </w:p>
    <w:p>
      <w:pPr>
        <w:pStyle w:val="Normal"/>
        <w:spacing w:beforeAutospacing="0" w:before="240" w:afterAutospacing="0" w:after="240"/>
        <w:ind w:left="0" w:right="0" w:hanging="0"/>
        <w:jc w:val="left"/>
        <w:rPr>
          <w:color w:val="000000"/>
        </w:rPr>
      </w:pPr>
      <w:r>
        <w:rPr>
          <w:rFonts w:eastAsia="Times New Roman" w:cs="Times New Roman" w:ascii="Times New Roman" w:hAnsi="Times New Roman"/>
          <w:b w:val="false"/>
          <w:i w:val="false"/>
          <w:color w:val="000000"/>
          <w:sz w:val="28"/>
          <w:szCs w:val="28"/>
        </w:rPr>
        <w:t>- по КБК 202 253 1514 отсутствует связка со счетом 20551001;</w:t>
      </w:r>
    </w:p>
    <w:p>
      <w:pPr>
        <w:pStyle w:val="Normal"/>
        <w:spacing w:beforeAutospacing="0" w:before="240" w:afterAutospacing="0" w:after="240"/>
        <w:ind w:left="0" w:right="0" w:hanging="0"/>
        <w:jc w:val="left"/>
        <w:rPr>
          <w:color w:val="000000"/>
        </w:rPr>
      </w:pPr>
      <w:r>
        <w:rPr>
          <w:rFonts w:eastAsia="Times New Roman" w:cs="Times New Roman" w:ascii="Times New Roman" w:hAnsi="Times New Roman"/>
          <w:b w:val="false"/>
          <w:i w:val="false"/>
          <w:color w:val="000000"/>
          <w:sz w:val="28"/>
          <w:szCs w:val="28"/>
        </w:rPr>
        <w:t>- отсутствуют показатели просроченной задолженности в р. 2 " Сведения о просроченной задолженности) по главе 182 " Федеральная налоговая служба";</w:t>
      </w:r>
    </w:p>
    <w:p>
      <w:pPr>
        <w:pStyle w:val="Normal"/>
        <w:spacing w:beforeAutospacing="0" w:before="240" w:afterAutospacing="0" w:after="240"/>
        <w:ind w:left="0" w:right="0" w:hanging="0"/>
        <w:jc w:val="left"/>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i w:val="false"/>
          <w:color w:val="000000"/>
          <w:sz w:val="28"/>
          <w:szCs w:val="28"/>
          <w:u w:val="single"/>
        </w:rPr>
        <w:t>Форма 0503169 БК</w:t>
      </w:r>
      <w:r>
        <w:rPr>
          <w:rFonts w:eastAsia="Times New Roman" w:cs="Times New Roman" w:ascii="Times New Roman" w:hAnsi="Times New Roman"/>
          <w:b w:val="false"/>
          <w:i w:val="false"/>
          <w:color w:val="000000"/>
          <w:sz w:val="28"/>
          <w:szCs w:val="28"/>
        </w:rPr>
        <w:t xml:space="preserve">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 незавершенные расчеты   с   Министерством ТЭК и ЖКХ Тамбовской области ( глава 015) текущего характера на сумму 24 442 559,75 руб. ( 40141151) и капитального характера на сумму 4 905 005,50 руб. ( счет 40141161);</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отклонение на сумму 10000,00 руб. по главе 182 " Федеральная налоговая служба";</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Calibri" w:cs="Calibri"/>
          <w:b/>
          <w:i w:val="false"/>
          <w:color w:val="000000"/>
          <w:sz w:val="28"/>
          <w:szCs w:val="28"/>
        </w:rPr>
        <w:t xml:space="preserve">                                    </w:t>
      </w:r>
      <w:r>
        <w:rPr>
          <w:rFonts w:eastAsia="Calibri" w:cs="Calibri"/>
          <w:b/>
          <w:i w:val="false"/>
          <w:color w:val="000000"/>
          <w:sz w:val="28"/>
          <w:szCs w:val="28"/>
        </w:rPr>
        <w:t>Междокументный контроль</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остаток целевых средств на счете 130305 на 01.01.2025 в сумме 1060,84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перечисление задолженности на 05 лицевые счета казенным учреждениям в сумме 282 394,97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t</w:t>
      </w:r>
      <w:r>
        <w:rPr>
          <w:rFonts w:eastAsia="Calibri" w:cs="Calibri"/>
          <w:b w:val="false"/>
          <w:i w:val="false"/>
          <w:color w:val="000000"/>
          <w:sz w:val="28"/>
          <w:szCs w:val="28"/>
          <w:u w:val="single"/>
        </w:rPr>
        <w:t xml:space="preserve">ambov_ 1202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rPr>
        <w:t>отклонение на сумму (-) 3 882 973.33 руб. - поступления по КБК 108.. госпошлина по главе 182 " ФНС"</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rPr>
        <w:t>отклонение на сумму  1 432 922,65 в т.ч.</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xml:space="preserve">      </w:t>
      </w:r>
      <w:r>
        <w:rPr>
          <w:rFonts w:eastAsia="Calibri" w:cs="Calibri"/>
          <w:b w:val="false"/>
          <w:i w:val="false"/>
          <w:color w:val="000000"/>
          <w:sz w:val="28"/>
          <w:szCs w:val="28"/>
        </w:rPr>
        <w:t>- поступления  по КБК 112.. по главе 048 в сумме 1 437 599,27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возврат аренды по КБК 1110501214 по главе 508 " Администрация Жердевского мун.округа" в сумму (-) 4 676,62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отклонение на сумму 960 992,04 руб. : поступления штрафов по КБК 116... по главам 003,027,182</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w:t>
      </w:r>
    </w:p>
    <w:p>
      <w:pPr>
        <w:pStyle w:val="Normal"/>
        <w:spacing w:beforeAutospacing="0" w:before="240" w:afterAutospacing="0" w:after="240"/>
        <w:ind w:left="0" w:right="0" w:hanging="0"/>
        <w:jc w:val="center"/>
        <w:rPr>
          <w:color w:val="000000"/>
        </w:rPr>
      </w:pPr>
      <w:r>
        <w:rPr>
          <w:rFonts w:eastAsia="Calibri" w:cs="Calibri"/>
          <w:b w:val="false"/>
          <w:i w:val="false"/>
          <w:color w:val="000000"/>
          <w:sz w:val="28"/>
          <w:szCs w:val="28"/>
        </w:rPr>
        <w:t> </w:t>
      </w:r>
      <w:r>
        <w:rPr>
          <w:rFonts w:eastAsia="Calibri" w:cs="Calibri"/>
          <w:b/>
          <w:i w:val="false"/>
          <w:color w:val="000000"/>
          <w:sz w:val="28"/>
          <w:szCs w:val="28"/>
        </w:rPr>
        <w:t>Сведения о финансовых вложениях получателя бюджетных средств</w:t>
      </w:r>
      <w:r>
        <w:rPr>
          <w:rFonts w:eastAsia="Calibri" w:cs="Calibri"/>
          <w:b w:val="false"/>
          <w:i w:val="false"/>
          <w:color w:val="000000"/>
          <w:sz w:val="28"/>
          <w:szCs w:val="28"/>
        </w:rPr>
        <w:t xml:space="preserve">, </w:t>
      </w:r>
      <w:r>
        <w:rPr>
          <w:rFonts w:eastAsia="Calibri" w:cs="Calibri"/>
          <w:b/>
          <w:i w:val="false"/>
          <w:color w:val="000000"/>
          <w:sz w:val="28"/>
          <w:szCs w:val="28"/>
        </w:rPr>
        <w:t>администратора источников финансирования дефицита бюджета</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w:t>
      </w:r>
      <w:r>
        <w:rPr>
          <w:rFonts w:eastAsia="Calibri" w:cs="Calibri"/>
          <w:b/>
          <w:i w:val="false"/>
          <w:color w:val="000000"/>
          <w:sz w:val="28"/>
          <w:szCs w:val="28"/>
        </w:rPr>
        <w:t xml:space="preserve"> </w:t>
      </w:r>
      <w:r>
        <w:rPr>
          <w:rFonts w:eastAsia="Calibri" w:cs="Calibri"/>
          <w:b/>
          <w:i w:val="false"/>
          <w:color w:val="000000"/>
          <w:sz w:val="28"/>
          <w:szCs w:val="28"/>
        </w:rPr>
        <w:t>( ф. 0503171)</w:t>
      </w:r>
    </w:p>
    <w:p>
      <w:pPr>
        <w:pStyle w:val="Normal"/>
        <w:spacing w:beforeAutospacing="0" w:before="240" w:afterAutospacing="0" w:after="240"/>
        <w:ind w:left="0" w:right="0" w:hanging="0"/>
        <w:jc w:val="left"/>
        <w:rPr>
          <w:color w:val="000000"/>
        </w:rPr>
      </w:pPr>
      <w:r>
        <w:rPr>
          <w:rFonts w:eastAsia="Calibri" w:cs="Calibri"/>
          <w:b/>
          <w:i w:val="false"/>
          <w:color w:val="000000"/>
          <w:sz w:val="28"/>
          <w:szCs w:val="28"/>
        </w:rPr>
        <w:t>                                         </w:t>
      </w:r>
      <w:r>
        <w:rPr>
          <w:rFonts w:eastAsia="Calibri" w:cs="Calibri"/>
          <w:b/>
          <w:i w:val="false"/>
          <w:color w:val="000000"/>
          <w:sz w:val="28"/>
          <w:szCs w:val="28"/>
        </w:rPr>
        <w:t>Междокументный контроль</w:t>
      </w: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left"/>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left"/>
        <w:rPr>
          <w:color w:val="000000"/>
        </w:rPr>
      </w:pP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u w:val="single"/>
        </w:rPr>
        <w:t>Проверка tambov_ 1395</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безвозмездная передача финансовых активов по счету 20433 из муниципального района в муниципальный округ отражена   проводкой 20433 - 4010191 в сумме 593 633 804,55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u w:val="single"/>
        </w:rPr>
        <w:t>Проверка tambov_ 966</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отклонение на сумму 6 896 330,00 руб - незавершенное строительство , отраженное на счете 106 в ф. 0503768 по ВД "6"</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p>
    <w:p>
      <w:pPr>
        <w:pStyle w:val="Normal"/>
        <w:spacing w:beforeAutospacing="0" w:before="240" w:afterAutospacing="0" w:after="240"/>
        <w:ind w:left="0" w:right="0" w:hanging="0"/>
        <w:jc w:val="center"/>
        <w:rPr>
          <w:color w:val="000000"/>
        </w:rPr>
      </w:pPr>
      <w:r>
        <w:rPr>
          <w:rFonts w:eastAsia="Calibri" w:cs="Calibri"/>
          <w:b w:val="false"/>
          <w:i w:val="false"/>
          <w:color w:val="000000"/>
          <w:sz w:val="28"/>
          <w:szCs w:val="28"/>
        </w:rPr>
        <w:t>    </w:t>
      </w:r>
      <w:r>
        <w:rPr>
          <w:rFonts w:eastAsia="Calibri" w:cs="Calibri"/>
          <w:b/>
          <w:i w:val="false"/>
          <w:color w:val="000000"/>
          <w:sz w:val="28"/>
          <w:szCs w:val="28"/>
        </w:rPr>
        <w:t>Сведения о государственном ( муниципальном ) долге, предоставленных бюджетных кредитах</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 </w:t>
      </w:r>
      <w:r>
        <w:rPr>
          <w:rFonts w:eastAsia="Calibri" w:cs="Calibri"/>
          <w:b/>
          <w:i w:val="false"/>
          <w:color w:val="000000"/>
          <w:sz w:val="28"/>
          <w:szCs w:val="28"/>
        </w:rPr>
        <w:t>( ф. 0503172)</w:t>
      </w:r>
    </w:p>
    <w:p>
      <w:pPr>
        <w:pStyle w:val="Normal"/>
        <w:spacing w:beforeAutospacing="0" w:before="240" w:afterAutospacing="0" w:after="240"/>
        <w:ind w:left="0" w:right="0" w:hanging="0"/>
        <w:jc w:val="both"/>
        <w:rPr>
          <w:color w:val="000000"/>
        </w:rPr>
      </w:pPr>
      <w:r>
        <w:rPr>
          <w:rFonts w:eastAsia="Calibri" w:cs="Calibri"/>
          <w:b/>
          <w:i w:val="false"/>
          <w:color w:val="000000"/>
          <w:sz w:val="28"/>
          <w:szCs w:val="28"/>
        </w:rPr>
        <w:t>    </w:t>
      </w:r>
      <w:r>
        <w:rPr>
          <w:rFonts w:eastAsia="Calibri" w:cs="Calibri"/>
          <w:b w:val="false"/>
          <w:i w:val="false"/>
          <w:color w:val="000000"/>
          <w:sz w:val="28"/>
          <w:szCs w:val="28"/>
        </w:rPr>
        <w:t>Муниципальный долг Жердевского муниципального округа по состоянию на 01.01.2025 отсутствует.</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В 2024 году был списан бюджетный кредит в сумме 12 819 510,00 руб., оплачено основного долга 129 490,00 руб.</w:t>
      </w:r>
    </w:p>
    <w:p>
      <w:pPr>
        <w:pStyle w:val="Normal"/>
        <w:spacing w:beforeAutospacing="0" w:before="240" w:afterAutospacing="0" w:after="240"/>
        <w:ind w:left="0" w:right="0" w:hanging="0"/>
        <w:jc w:val="both"/>
        <w:rPr>
          <w:color w:val="000000"/>
        </w:rPr>
      </w:pPr>
      <w:r>
        <w:rPr>
          <w:rFonts w:eastAsia="Calibri" w:cs="Calibri"/>
          <w:b w:val="false"/>
          <w:i w:val="false"/>
          <w:color w:val="000000"/>
          <w:sz w:val="28"/>
          <w:szCs w:val="28"/>
        </w:rPr>
        <w:t> </w:t>
      </w:r>
    </w:p>
    <w:p>
      <w:pPr>
        <w:pStyle w:val="Normal"/>
        <w:spacing w:beforeAutospacing="0" w:before="240" w:afterAutospacing="0" w:after="240"/>
        <w:ind w:left="0" w:right="0" w:hanging="0"/>
        <w:jc w:val="center"/>
        <w:rPr>
          <w:color w:val="000000"/>
        </w:rPr>
      </w:pPr>
      <w:r>
        <w:rPr>
          <w:rFonts w:eastAsia="Calibri" w:cs="Calibri"/>
          <w:b w:val="false"/>
          <w:i w:val="false"/>
          <w:color w:val="000000"/>
          <w:sz w:val="28"/>
          <w:szCs w:val="28"/>
        </w:rPr>
        <w:t> </w:t>
      </w:r>
      <w:r>
        <w:rPr>
          <w:rFonts w:eastAsia="Calibri" w:cs="Calibri"/>
          <w:b/>
          <w:i w:val="false"/>
          <w:color w:val="000000"/>
          <w:sz w:val="28"/>
          <w:szCs w:val="28"/>
        </w:rPr>
        <w:t xml:space="preserve">Сведения о вложениях в объекты недвижимого имущества, объектах незавершенного строительства </w:t>
      </w:r>
    </w:p>
    <w:p>
      <w:pPr>
        <w:pStyle w:val="Normal"/>
        <w:spacing w:beforeAutospacing="0" w:before="240" w:afterAutospacing="0" w:after="240"/>
        <w:ind w:left="0" w:right="0" w:hanging="0"/>
        <w:jc w:val="center"/>
        <w:rPr>
          <w:color w:val="000000"/>
        </w:rPr>
      </w:pPr>
      <w:r>
        <w:rPr>
          <w:rFonts w:eastAsia="Calibri" w:cs="Calibri"/>
          <w:b/>
          <w:i w:val="false"/>
          <w:color w:val="000000"/>
          <w:sz w:val="28"/>
          <w:szCs w:val="28"/>
        </w:rPr>
        <w:t>( ф. 0503190)</w:t>
      </w:r>
    </w:p>
    <w:p>
      <w:pPr>
        <w:pStyle w:val="Normal"/>
        <w:spacing w:beforeAutospacing="0" w:before="240" w:afterAutospacing="0" w:after="240"/>
        <w:ind w:left="0" w:right="0" w:hanging="0"/>
        <w:jc w:val="center"/>
        <w:rPr>
          <w:color w:val="000000"/>
        </w:rPr>
      </w:pPr>
      <w:r>
        <w:rPr>
          <w:rFonts w:eastAsia="Times New Roman" w:cs="Times New Roman" w:ascii="Times New Roman" w:hAnsi="Times New Roman"/>
          <w:b/>
          <w:i w:val="false"/>
          <w:color w:val="000000"/>
          <w:sz w:val="28"/>
          <w:szCs w:val="28"/>
        </w:rPr>
        <w:t>Внутридокументный контроль</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xml:space="preserve">Учетный код объекта в графе 6 указан действующий до 2024 года. </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xml:space="preserve">  </w:t>
      </w:r>
    </w:p>
    <w:p>
      <w:pPr>
        <w:pStyle w:val="Normal"/>
        <w:spacing w:beforeAutospacing="0" w:before="240" w:afterAutospacing="0" w:after="240"/>
        <w:ind w:left="0" w:right="0" w:hanging="0"/>
        <w:jc w:val="left"/>
        <w:rPr>
          <w:color w:val="000000"/>
        </w:rPr>
      </w:pPr>
      <w:r>
        <w:rPr>
          <w:rFonts w:eastAsia="Calibri" w:cs="Calibri"/>
          <w:b w:val="false"/>
          <w:i w:val="false"/>
          <w:color w:val="000000"/>
          <w:sz w:val="28"/>
          <w:szCs w:val="28"/>
        </w:rPr>
        <w:t>                </w:t>
      </w:r>
      <w:r>
        <w:rPr>
          <w:rFonts w:eastAsia="Calibri" w:cs="Calibri"/>
          <w:b/>
          <w:i w:val="false"/>
          <w:color w:val="000000"/>
          <w:sz w:val="28"/>
          <w:szCs w:val="28"/>
        </w:rPr>
        <w:t xml:space="preserve"> </w:t>
      </w:r>
      <w:r>
        <w:rPr>
          <w:rFonts w:eastAsia="Calibri" w:cs="Calibri"/>
          <w:b/>
          <w:i w:val="false"/>
          <w:color w:val="000000"/>
          <w:sz w:val="28"/>
          <w:szCs w:val="28"/>
        </w:rPr>
        <w:t>Сведения об изменении остатков валюты баланса</w:t>
      </w:r>
    </w:p>
    <w:p>
      <w:pPr>
        <w:pStyle w:val="Normal"/>
        <w:spacing w:beforeAutospacing="0" w:before="240" w:afterAutospacing="0" w:after="240"/>
        <w:ind w:left="0" w:right="0" w:hanging="0"/>
        <w:jc w:val="left"/>
        <w:rPr>
          <w:color w:val="000000"/>
        </w:rPr>
      </w:pPr>
      <w:r>
        <w:rPr>
          <w:rFonts w:eastAsia="Calibri" w:cs="Calibri"/>
          <w:b/>
          <w:i w:val="false"/>
          <w:color w:val="000000"/>
          <w:sz w:val="28"/>
          <w:szCs w:val="28"/>
        </w:rPr>
        <w:t xml:space="preserve">                                                                   </w:t>
      </w:r>
      <w:r>
        <w:rPr>
          <w:rFonts w:eastAsia="Calibri" w:cs="Calibri"/>
          <w:b/>
          <w:i w:val="false"/>
          <w:color w:val="000000"/>
          <w:sz w:val="28"/>
          <w:szCs w:val="28"/>
        </w:rPr>
        <w:t>( ф. 0503173)</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Отклонение на сумму остатков денежных средств на счете бюджета на 01.01.2024 в связи с переносом остатка денежных средств из муниципального района в муниципальный округ.</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В сумме 7 656 284,67 руб - показатель по Федеральной налоговой службе- перенос остатков по счетам из муниципального района в муниципальный округ.</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p>
    <w:p>
      <w:pPr>
        <w:pStyle w:val="Normal"/>
        <w:spacing w:beforeAutospacing="0" w:before="240" w:afterAutospacing="0" w:after="240"/>
        <w:ind w:left="0" w:right="0" w:hanging="0"/>
        <w:jc w:val="both"/>
        <w:rPr>
          <w:color w:val="000000"/>
        </w:rPr>
      </w:pPr>
      <w:r>
        <w:rPr>
          <w:rFonts w:eastAsia="Calibri" w:cs="Calibri"/>
          <w:b/>
          <w:i w:val="false"/>
          <w:color w:val="000000"/>
          <w:sz w:val="28"/>
          <w:szCs w:val="28"/>
        </w:rPr>
        <w:t>                                     </w:t>
      </w:r>
      <w:r>
        <w:rPr>
          <w:rFonts w:eastAsia="Calibri" w:cs="Calibri"/>
          <w:b/>
          <w:i w:val="false"/>
          <w:color w:val="000000"/>
          <w:sz w:val="28"/>
          <w:szCs w:val="28"/>
        </w:rPr>
        <w:t>Междокументный контроль</w:t>
      </w:r>
      <w:r>
        <w:rPr>
          <w:rFonts w:eastAsia="Times New Roman" w:cs="Times New Roman" w:ascii="Times New Roman" w:hAnsi="Times New Roman"/>
          <w:b w:val="false"/>
          <w:i w:val="false"/>
          <w:color w:val="000000"/>
          <w:sz w:val="24"/>
          <w:szCs w:val="24"/>
        </w:rPr>
        <w:t>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u w:val="single"/>
        </w:rPr>
        <w:t xml:space="preserve">Проверка 6478 </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-отклонение на   показатели казенных учреждений, которые перешли из муниципального района в округ.</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u w:val="single"/>
        </w:rPr>
        <w:t>Проверка tambov_ 1445</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отклонение показателей по сравнению с ф. 0503173 ( сентябрь) на сумму         25 389 086,00 в связи с переносом остатка по счету 108 на счет 106 по МКУ " Управление заказчика"</w:t>
      </w:r>
    </w:p>
    <w:p>
      <w:pPr>
        <w:pStyle w:val="Normal"/>
        <w:spacing w:beforeAutospacing="0" w:before="240" w:afterAutospacing="0" w:after="240"/>
        <w:ind w:left="0" w:right="0" w:hanging="0"/>
        <w:jc w:val="both"/>
        <w:rPr>
          <w:color w:val="000000"/>
        </w:rPr>
      </w:pPr>
      <w:r>
        <w:rPr>
          <w:rFonts w:eastAsia="Times New Roman" w:cs="Times New Roman" w:ascii="Times New Roman" w:hAnsi="Times New Roman"/>
          <w:b w:val="false"/>
          <w:i w:val="false"/>
          <w:color w:val="000000"/>
          <w:sz w:val="28"/>
          <w:szCs w:val="28"/>
        </w:rPr>
        <w:t> </w:t>
      </w:r>
    </w:p>
    <w:p>
      <w:pPr>
        <w:pStyle w:val="Normal"/>
        <w:spacing w:beforeAutospacing="0" w:before="240" w:afterAutospacing="0" w:after="240"/>
        <w:ind w:left="0" w:right="0" w:hanging="0"/>
        <w:jc w:val="center"/>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i w:val="false"/>
          <w:color w:val="000000"/>
          <w:sz w:val="28"/>
          <w:szCs w:val="28"/>
        </w:rPr>
        <w:t>Сведения об исполнении судебных решений по денежным обязательствам бюджета ( ф. 0503296)</w:t>
      </w:r>
    </w:p>
    <w:p>
      <w:pPr>
        <w:pStyle w:val="Normal"/>
        <w:spacing w:beforeAutospacing="0" w:before="0" w:afterAutospacing="0" w:after="0"/>
        <w:ind w:left="0" w:right="0" w:hanging="0"/>
        <w:jc w:val="both"/>
        <w:rPr>
          <w:color w:val="000000"/>
        </w:rPr>
      </w:pPr>
      <w:r>
        <w:rPr>
          <w:rFonts w:eastAsia="Times New Roman" w:cs="Times New Roman" w:ascii="Times New Roman" w:hAnsi="Times New Roman"/>
          <w:b w:val="false"/>
          <w:i w:val="false"/>
          <w:color w:val="000000"/>
          <w:sz w:val="28"/>
          <w:szCs w:val="28"/>
        </w:rPr>
        <w:t>В течении 2024 года  исполнено судебных решений по денежным обязательствам бюджета на сумму 282 774 ,33 руб. по следующим исполнительным листам:</w:t>
      </w:r>
    </w:p>
    <w:p>
      <w:pPr>
        <w:pStyle w:val="Normal"/>
        <w:spacing w:beforeAutospacing="0" w:before="0" w:afterAutospacing="0" w:after="0"/>
        <w:ind w:left="0" w:right="0" w:hanging="0"/>
        <w:jc w:val="left"/>
        <w:rPr>
          <w:color w:val="000000"/>
        </w:rPr>
      </w:pPr>
      <w:r>
        <w:rPr>
          <w:rFonts w:eastAsia="Segoe UI" w:cs="Segoe UI" w:ascii="Segoe UI" w:hAnsi="Segoe UI"/>
          <w:b w:val="false"/>
          <w:i w:val="false"/>
          <w:color w:val="000000"/>
          <w:sz w:val="28"/>
          <w:szCs w:val="28"/>
        </w:rPr>
        <w:t>     </w:t>
      </w:r>
      <w:r>
        <w:rPr>
          <w:rFonts w:eastAsia="Times New Roman" w:cs="Times New Roman" w:ascii="Times New Roman" w:hAnsi="Times New Roman"/>
          <w:b w:val="false"/>
          <w:i w:val="false"/>
          <w:color w:val="000000"/>
          <w:sz w:val="28"/>
          <w:szCs w:val="28"/>
        </w:rPr>
        <w:t>- ФС № 041874090 от 12.12.2023 г. на сумму  126 267,83 руб. в пользу АО "ААА Инжиниринг";</w:t>
      </w:r>
    </w:p>
    <w:p>
      <w:pPr>
        <w:pStyle w:val="Normal"/>
        <w:spacing w:beforeAutospacing="0" w:before="0" w:afterAutospacing="0" w:after="0"/>
        <w:ind w:left="0" w:right="0" w:hanging="0"/>
        <w:jc w:val="left"/>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  ФС № 041876519 от 22.05.2024 г. на сумму   86 688,83 руб. в пользу АО "ААА Инжиниринг";</w:t>
      </w:r>
    </w:p>
    <w:p>
      <w:pPr>
        <w:pStyle w:val="Normal"/>
        <w:spacing w:beforeAutospacing="0" w:before="0" w:afterAutospacing="0" w:after="0"/>
        <w:ind w:left="0" w:right="0" w:hanging="0"/>
        <w:jc w:val="left"/>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  ФС № 041876430 от 07.05.2024 г. на сумму   3 034,79 руб. в пользу АО "ТСК" Уваровский филиал;</w:t>
      </w:r>
    </w:p>
    <w:p>
      <w:pPr>
        <w:pStyle w:val="Normal"/>
        <w:spacing w:beforeAutospacing="0" w:before="0" w:afterAutospacing="0" w:after="0"/>
        <w:ind w:left="0" w:right="0" w:hanging="0"/>
        <w:jc w:val="left"/>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  ФС № 041876342 от 25.04.2024 г. на с умму   1 964,41 руб. в пользу АО "ТСК" Уваровский филиал;</w:t>
      </w:r>
    </w:p>
    <w:p>
      <w:pPr>
        <w:pStyle w:val="Normal"/>
        <w:spacing w:beforeAutospacing="0" w:before="0" w:afterAutospacing="0" w:after="0"/>
        <w:ind w:left="0" w:right="0" w:hanging="0"/>
        <w:jc w:val="left"/>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  ФС № 041877827 от 30.07.2024 г. на сумму   2 000,00 руб., в пользу АО "ТСК" Уваровский филиал;</w:t>
      </w:r>
    </w:p>
    <w:p>
      <w:pPr>
        <w:pStyle w:val="Normal"/>
        <w:spacing w:beforeAutospacing="0" w:before="0" w:afterAutospacing="0" w:after="0"/>
        <w:ind w:left="0" w:right="0" w:hanging="0"/>
        <w:jc w:val="left"/>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  ФС № 041877828 от 30.07.2024 на сумму 2 000,00 руб в пользу АО "ТСК" Уваровский филиал;</w:t>
      </w:r>
    </w:p>
    <w:p>
      <w:pPr>
        <w:pStyle w:val="Normal"/>
        <w:spacing w:beforeAutospacing="0" w:before="0" w:afterAutospacing="0" w:after="0"/>
        <w:ind w:left="0" w:right="0" w:hanging="0"/>
        <w:jc w:val="left"/>
        <w:rPr>
          <w:color w:val="000000"/>
        </w:rPr>
      </w:pP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  ФС № 041879168 от 28.10.2024 на сумму 48 195,20 руб в пользу АО "ТСК" Уваровский филиал;</w:t>
      </w:r>
    </w:p>
    <w:p>
      <w:pPr>
        <w:pStyle w:val="Normal"/>
        <w:spacing w:beforeAutospacing="0" w:before="0" w:afterAutospacing="0" w:after="0"/>
        <w:ind w:left="0" w:right="0" w:hanging="0"/>
        <w:jc w:val="left"/>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  ФС № 007441290 от 22.02.2022 на сумму 3 533,10 руб в пользу АО "ТСК" Уваровский филиал;</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ФС 041874486 от 12.01.2024г.на сумму 19 320,00руб. в пользу АО "ТСК" Уваровский филиал</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ФС 041874486 от 12.01.2024г.на сумму 2 000,00руб. в пользу АО "ТСК" Уваровский филиал</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ФС 041874486 от 12.01.2024г.на сумму 1440,08 руб. в пользу АО "ТСК" Уваровский филиал</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ФС 041874486 от 12.01.2024г.на сумму 345,29руб. в пользу АО "ТСК" Уваровский филиал</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ФС 042153240 от 13.06.2023г.на сумму 30 000,00руб. в пользу Блиновой Элеоноры Владимировны</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ФС 045310221 от 13.09.2024г.на сумму 21 500,00руб. в пользу Разумной Светланы Александровны</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2"/>
          <w:szCs w:val="22"/>
        </w:rPr>
        <w:t>-</w:t>
      </w:r>
      <w:r>
        <w:rPr>
          <w:rFonts w:eastAsia="Calibri" w:cs="Calibri"/>
          <w:b w:val="false"/>
          <w:i w:val="false"/>
          <w:color w:val="000000"/>
          <w:sz w:val="28"/>
          <w:szCs w:val="28"/>
        </w:rPr>
        <w:t xml:space="preserve"> исп.произ№20296/24/98068-ИП от 21.11.2022г на сумму 50000,00в пользу УФК по Тамбовской области(СОСП по Тамбовской области ГМУ ФССП России л/с 05641G23310) за неисполнение решения суда; </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исп.произ№20295/24/98068-ИП от 23.11.2022г на сумму 50000,00в пользу УФК по Тамбовской области(СОСП по Тамбовской области ГМУ ФССП России л/с 05641G23310)за неисполнение решения суда;</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исп.произ№20308/24/98068-ИП от 21.11.2022г на сумму 50000,00в пользу УФК по Тамбовской области(СОСП по Тамбовской области ГМУ ФССП России л/с 05641G23310)за неисполнение решения суда;</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Calibri" w:cs="Calibri"/>
          <w:b w:val="false"/>
          <w:i w:val="false"/>
          <w:color w:val="000000"/>
          <w:sz w:val="28"/>
          <w:szCs w:val="28"/>
        </w:rPr>
        <w:t>- исп.произ№20307/24/98068-ИПот 21.11.2022г на сумму 50000,00в пользу УФК по Тамбовской области(СОСП по Тамбовской области ГМУ ФССП России л/с 05641G23310)за неисполнение решения суда;</w:t>
      </w:r>
    </w:p>
    <w:p>
      <w:pPr>
        <w:pStyle w:val="Normal"/>
        <w:spacing w:beforeAutospacing="0" w:before="0" w:afterAutospacing="0" w:after="0"/>
        <w:ind w:left="0" w:right="0" w:hanging="0"/>
        <w:jc w:val="both"/>
        <w:rPr>
          <w:color w:val="000000"/>
        </w:rPr>
      </w:pPr>
      <w:r>
        <w:rPr>
          <w:rFonts w:eastAsia="Calibri" w:cs="Calibri"/>
          <w:b w:val="false"/>
          <w:i w:val="false"/>
          <w:color w:val="000000"/>
          <w:sz w:val="28"/>
          <w:szCs w:val="28"/>
        </w:rPr>
        <w:t> </w:t>
      </w:r>
      <w:r>
        <w:rPr>
          <w:rFonts w:eastAsia="Times New Roman" w:cs="Times New Roman" w:ascii="Times New Roman" w:hAnsi="Times New Roman"/>
          <w:b w:val="false"/>
          <w:i w:val="false"/>
          <w:color w:val="000000"/>
          <w:sz w:val="28"/>
          <w:szCs w:val="28"/>
        </w:rPr>
        <w:t xml:space="preserve">    </w:t>
      </w:r>
      <w:r>
        <w:rPr>
          <w:rFonts w:eastAsia="Times New Roman" w:cs="Times New Roman" w:ascii="Times New Roman" w:hAnsi="Times New Roman"/>
          <w:b w:val="false"/>
          <w:i w:val="false"/>
          <w:color w:val="000000"/>
          <w:sz w:val="28"/>
          <w:szCs w:val="28"/>
        </w:rPr>
        <w:t>Финансовым управлением администрации Жердевского муниципального округа Тамбовской области как органом, уполномоченным на осуществление внутреннего муниципального финансового контроля, в 2024 году проведено 5 контрольных мероприятия, из них 4 – в плановом порядке,</w:t>
        <w:br/>
        <w:t xml:space="preserve">1 внеплановая проверка – на основании </w:t>
      </w:r>
      <w:r>
        <w:rPr>
          <w:rFonts w:eastAsia="Times New Roman" w:cs="Times New Roman" w:ascii="Times New Roman" w:hAnsi="Times New Roman"/>
          <w:b w:val="false"/>
          <w:i w:val="false"/>
          <w:color w:val="222222"/>
          <w:sz w:val="28"/>
          <w:szCs w:val="28"/>
          <w:shd w:fill="FFFFFF" w:val="clear"/>
        </w:rPr>
        <w:t>обнаружения признаков нарушения законодательства Российской Федерации и иных нормативных правовых актов о контрактной системе в сфере закупок (</w:t>
      </w:r>
      <w:r>
        <w:rPr>
          <w:rFonts w:eastAsia="Times New Roman" w:cs="Times New Roman" w:ascii="Times New Roman" w:hAnsi="Times New Roman"/>
          <w:b w:val="false"/>
          <w:i w:val="false"/>
          <w:color w:val="000000"/>
          <w:sz w:val="28"/>
          <w:szCs w:val="28"/>
        </w:rPr>
        <w:t>подпункт б пункта 2 части 15 статьи</w:t>
      </w:r>
      <w:r>
        <w:rPr>
          <w:rFonts w:eastAsia="Times New Roman" w:cs="Times New Roman" w:ascii="Times New Roman" w:hAnsi="Times New Roman"/>
          <w:b w:val="false"/>
          <w:i w:val="false"/>
          <w:color w:val="000000"/>
          <w:sz w:val="28"/>
          <w:szCs w:val="28"/>
          <w:shd w:fill="FFFFFF" w:val="clear"/>
        </w:rPr>
        <w:t xml:space="preserve"> 99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eastAsia="Times New Roman" w:cs="Times New Roman" w:ascii="Times New Roman" w:hAnsi="Times New Roman"/>
          <w:b w:val="false"/>
          <w:i w:val="false"/>
          <w:color w:val="222222"/>
          <w:sz w:val="28"/>
          <w:szCs w:val="28"/>
          <w:shd w:fill="FFFFFF" w:val="clear"/>
        </w:rPr>
        <w:t>)</w:t>
      </w:r>
      <w:r>
        <w:rPr>
          <w:rFonts w:eastAsia="Times New Roman" w:cs="Times New Roman" w:ascii="Times New Roman" w:hAnsi="Times New Roman"/>
          <w:b w:val="false"/>
          <w:i w:val="false"/>
          <w:color w:val="000000"/>
          <w:sz w:val="28"/>
          <w:szCs w:val="28"/>
        </w:rPr>
        <w:t xml:space="preserve">. </w:t>
      </w:r>
    </w:p>
    <w:p>
      <w:pPr>
        <w:pStyle w:val="Normal"/>
        <w:spacing w:beforeAutospacing="0" w:before="0" w:afterAutospacing="0" w:after="0"/>
        <w:ind w:left="0" w:right="0" w:firstLine="700"/>
        <w:jc w:val="both"/>
        <w:rPr>
          <w:color w:val="000000"/>
        </w:rPr>
      </w:pPr>
      <w:r>
        <w:rPr>
          <w:rFonts w:eastAsia="Times New Roman" w:cs="Times New Roman" w:ascii="Times New Roman" w:hAnsi="Times New Roman"/>
          <w:b w:val="false"/>
          <w:i w:val="false"/>
          <w:color w:val="000000"/>
          <w:sz w:val="28"/>
          <w:szCs w:val="28"/>
        </w:rPr>
        <w:t>Нарушения установлены по итогам всех 5-ти контрольных мероприятий. В целях реализации материалов контрольного мероприятия подготовлено и направлено объекту контроля 1 представление.</w:t>
      </w:r>
      <w:r>
        <w:rPr>
          <w:rFonts w:eastAsia="Times New Roman" w:cs="Times New Roman" w:ascii="Times New Roman" w:hAnsi="Times New Roman"/>
          <w:b w:val="false"/>
          <w:i w:val="false"/>
          <w:strike/>
          <w:color w:val="000000"/>
          <w:sz w:val="28"/>
          <w:szCs w:val="28"/>
        </w:rPr>
        <w:t xml:space="preserve"> </w:t>
      </w:r>
    </w:p>
    <w:p>
      <w:pPr>
        <w:pStyle w:val="Normal"/>
        <w:spacing w:beforeAutospacing="0" w:before="0" w:afterAutospacing="0" w:after="0"/>
        <w:ind w:left="0" w:right="0" w:hanging="0"/>
        <w:jc w:val="left"/>
        <w:rPr>
          <w:color w:val="000000"/>
        </w:rPr>
      </w:pPr>
      <w:r>
        <w:rPr>
          <w:rFonts w:eastAsia="Times New Roman" w:cs="Times New Roman" w:ascii="Times New Roman" w:hAnsi="Times New Roman"/>
          <w:b w:val="false"/>
          <w:i w:val="false"/>
          <w:color w:val="000000"/>
          <w:sz w:val="28"/>
          <w:szCs w:val="28"/>
        </w:rPr>
        <w:t>      </w:t>
      </w:r>
      <w:r>
        <w:rPr>
          <w:rFonts w:eastAsia="Times New Roman" w:cs="Times New Roman" w:ascii="Times New Roman" w:hAnsi="Times New Roman"/>
          <w:b w:val="false"/>
          <w:i w:val="false"/>
          <w:color w:val="000000"/>
          <w:sz w:val="28"/>
          <w:szCs w:val="28"/>
        </w:rPr>
        <w:t>Финансовых нарушений, подлежащих устранению (возмещению) по результатам контрольных мероприятий не обнаружено.</w:t>
      </w:r>
      <w:r>
        <w:rPr>
          <w:rFonts w:eastAsia="Times New Roman" w:cs="Times New Roman" w:ascii="Times New Roman" w:hAnsi="Times New Roman"/>
          <w:b w:val="false"/>
          <w:i w:val="false"/>
          <w:color w:val="000000"/>
          <w:sz w:val="22"/>
          <w:szCs w:val="22"/>
        </w:rPr>
        <w:t> </w:t>
      </w:r>
    </w:p>
    <w:p>
      <w:pPr>
        <w:pStyle w:val="Normal"/>
        <w:spacing w:beforeAutospacing="0" w:before="0" w:afterAutospacing="0" w:after="0"/>
        <w:ind w:left="0" w:right="0" w:hanging="0"/>
        <w:rPr/>
      </w:pPr>
      <w:r>
        <w:rPr/>
        <w:t> </w:t>
      </w:r>
    </w:p>
    <w:p>
      <w:pPr>
        <w:pStyle w:val="Normal"/>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24"/>
          <w:szCs w:val="24"/>
        </w:rPr>
        <w:t> </w:t>
      </w:r>
    </w:p>
    <w:tbl>
      <w:tblPr>
        <w:tblW w:w="9380" w:type="dxa"/>
        <w:jc w:val="left"/>
        <w:tblInd w:w="204" w:type="dxa"/>
        <w:tblLayout w:type="fixed"/>
        <w:tblCellMar>
          <w:top w:w="0" w:type="dxa"/>
          <w:left w:w="108" w:type="dxa"/>
          <w:bottom w:w="0" w:type="dxa"/>
          <w:right w:w="108" w:type="dxa"/>
        </w:tblCellMar>
      </w:tblPr>
      <w:tblGrid>
        <w:gridCol w:w="3126"/>
        <w:gridCol w:w="3127"/>
        <w:gridCol w:w="3127"/>
      </w:tblGrid>
      <w:tr>
        <w:trPr/>
        <w:tc>
          <w:tcPr>
            <w:tcW w:w="3126" w:type="dxa"/>
            <w:tcBorders/>
            <w:vAlign w:val="center"/>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20"/>
                <w:szCs w:val="20"/>
              </w:rPr>
              <w:t>Руководитель</w:t>
            </w:r>
          </w:p>
        </w:tc>
        <w:tc>
          <w:tcPr>
            <w:tcW w:w="3127" w:type="dxa"/>
            <w:tcBorders/>
            <w:vAlign w:val="center"/>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
          </w:p>
        </w:tc>
        <w:tc>
          <w:tcPr>
            <w:tcW w:w="3127" w:type="dxa"/>
            <w:tcBorders/>
            <w:vAlign w:val="center"/>
          </w:tcPr>
          <w:p>
            <w:pPr>
              <w:pStyle w:val="Normal"/>
              <w:widowControl w:val="false"/>
              <w:jc w:val="center"/>
              <w:rPr>
                <w:rFonts w:ascii="Times New Roman" w:hAnsi="Times New Roman"/>
                <w:sz w:val="24"/>
              </w:rPr>
            </w:pPr>
            <w:r>
              <w:rPr>
                <w:rFonts w:ascii="Times New Roman" w:hAnsi="Times New Roman"/>
                <w:sz w:val="20"/>
                <w:szCs w:val="20"/>
                <w:u w:val="single"/>
              </w:rPr>
              <w:t>Н.В.Илларионова</w:t>
            </w:r>
          </w:p>
        </w:tc>
      </w:tr>
      <w:tr>
        <w:trPr>
          <w:trHeight w:val="280" w:hRule="atLeast"/>
        </w:trPr>
        <w:tc>
          <w:tcPr>
            <w:tcW w:w="3126" w:type="dxa"/>
            <w:tcBorders/>
            <w:vAlign w:val="bottom"/>
          </w:tcPr>
          <w:p>
            <w:pPr>
              <w:pStyle w:val="Normal"/>
              <w:widowControl w:val="false"/>
              <w:ind w:left="0" w:right="0" w:hanging="0"/>
              <w:rPr>
                <w:sz w:val="24"/>
              </w:rPr>
            </w:pPr>
            <w:r>
              <w:rPr>
                <w:sz w:val="24"/>
              </w:rPr>
            </w:r>
          </w:p>
        </w:tc>
        <w:tc>
          <w:tcPr>
            <w:tcW w:w="3127" w:type="dxa"/>
            <w:tcBorders/>
            <w:vAlign w:val="center"/>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20"/>
                <w:szCs w:val="20"/>
              </w:rPr>
              <w:t>(подпись)</w:t>
            </w:r>
          </w:p>
        </w:tc>
        <w:tc>
          <w:tcPr>
            <w:tcW w:w="3127" w:type="dxa"/>
            <w:tcBorders/>
            <w:vAlign w:val="center"/>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20"/>
                <w:szCs w:val="20"/>
              </w:rPr>
              <w:t>(расшифровка подписи)</w:t>
            </w:r>
          </w:p>
        </w:tc>
      </w:tr>
      <w:tr>
        <w:trPr>
          <w:trHeight w:val="281" w:hRule="exact"/>
        </w:trPr>
        <w:tc>
          <w:tcPr>
            <w:tcW w:w="9380" w:type="dxa"/>
            <w:gridSpan w:val="3"/>
            <w:tcBorders/>
            <w:vAlign w:val="bottom"/>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
          </w:p>
        </w:tc>
      </w:tr>
      <w:tr>
        <w:trPr>
          <w:trHeight w:val="281" w:hRule="exact"/>
        </w:trPr>
        <w:tc>
          <w:tcPr>
            <w:tcW w:w="9380" w:type="dxa"/>
            <w:gridSpan w:val="3"/>
            <w:tcBorders/>
            <w:vAlign w:val="bottom"/>
          </w:tcPr>
          <w:p>
            <w:pPr>
              <w:pStyle w:val="Normal"/>
              <w:widowControl w:val="false"/>
              <w:ind w:left="0" w:right="0" w:hanging="0"/>
              <w:rPr>
                <w:sz w:val="24"/>
              </w:rPr>
            </w:pPr>
            <w:r>
              <w:rPr>
                <w:sz w:val="24"/>
              </w:rPr>
            </w:r>
          </w:p>
        </w:tc>
      </w:tr>
      <w:tr>
        <w:trPr>
          <w:trHeight w:val="281" w:hRule="atLeast"/>
        </w:trPr>
        <w:tc>
          <w:tcPr>
            <w:tcW w:w="3126" w:type="dxa"/>
            <w:tcBorders/>
            <w:vAlign w:val="center"/>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20"/>
                <w:szCs w:val="20"/>
              </w:rPr>
              <w:t>Главный</w:t>
            </w:r>
          </w:p>
        </w:tc>
        <w:tc>
          <w:tcPr>
            <w:tcW w:w="3127" w:type="dxa"/>
            <w:tcBorders/>
            <w:vAlign w:val="center"/>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
          </w:p>
        </w:tc>
        <w:tc>
          <w:tcPr>
            <w:tcW w:w="3127" w:type="dxa"/>
            <w:tcBorders/>
            <w:vAlign w:val="bottom"/>
          </w:tcPr>
          <w:p>
            <w:pPr>
              <w:pStyle w:val="Normal"/>
              <w:widowControl w:val="false"/>
              <w:jc w:val="center"/>
              <w:rPr>
                <w:rFonts w:ascii="Times New Roman" w:hAnsi="Times New Roman"/>
                <w:sz w:val="24"/>
              </w:rPr>
            </w:pPr>
            <w:r>
              <w:rPr>
                <w:rFonts w:ascii="Times New Roman" w:hAnsi="Times New Roman"/>
                <w:sz w:val="20"/>
                <w:szCs w:val="20"/>
                <w:u w:val="single"/>
              </w:rPr>
              <w:t>М.А.Дрокина</w:t>
            </w:r>
          </w:p>
        </w:tc>
      </w:tr>
      <w:tr>
        <w:trPr>
          <w:trHeight w:val="281" w:hRule="atLeast"/>
        </w:trPr>
        <w:tc>
          <w:tcPr>
            <w:tcW w:w="3126" w:type="dxa"/>
            <w:tcBorders/>
            <w:vAlign w:val="center"/>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20"/>
                <w:szCs w:val="20"/>
              </w:rPr>
              <w:t>бухгалтер</w:t>
            </w:r>
          </w:p>
        </w:tc>
        <w:tc>
          <w:tcPr>
            <w:tcW w:w="3127" w:type="dxa"/>
            <w:tcBorders/>
            <w:vAlign w:val="center"/>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20"/>
                <w:szCs w:val="20"/>
              </w:rPr>
              <w:t>(подпись)</w:t>
            </w:r>
          </w:p>
        </w:tc>
        <w:tc>
          <w:tcPr>
            <w:tcW w:w="3127" w:type="dxa"/>
            <w:tcBorders/>
            <w:vAlign w:val="center"/>
          </w:tcPr>
          <w:p>
            <w:pPr>
              <w:pStyle w:val="Normal"/>
              <w:widowControl w:val="false"/>
              <w:spacing w:beforeAutospacing="0" w:before="0" w:afterAutospacing="0" w:after="0"/>
              <w:ind w:left="0" w:right="0" w:hanging="0"/>
              <w:jc w:val="center"/>
              <w:rPr>
                <w:rFonts w:ascii="Times New Roman" w:hAnsi="Times New Roman" w:eastAsia="Times New Roman" w:cs="Times New Roman"/>
                <w:sz w:val="24"/>
              </w:rPr>
            </w:pPr>
            <w:r>
              <w:rPr>
                <w:rFonts w:eastAsia="Times New Roman" w:cs="Times New Roman" w:ascii="Times New Roman" w:hAnsi="Times New Roman"/>
                <w:sz w:val="20"/>
                <w:szCs w:val="20"/>
              </w:rPr>
              <w:t>(расшифровка подписи)</w:t>
            </w:r>
          </w:p>
        </w:tc>
      </w:tr>
      <w:tr>
        <w:trPr>
          <w:trHeight w:val="449" w:hRule="atLeast"/>
        </w:trPr>
        <w:tc>
          <w:tcPr>
            <w:tcW w:w="3126" w:type="dxa"/>
            <w:tcBorders/>
            <w:vAlign w:val="center"/>
          </w:tcPr>
          <w:p>
            <w:pPr>
              <w:pStyle w:val="Normal"/>
              <w:widowControl w:val="false"/>
              <w:spacing w:beforeAutospacing="0" w:before="0" w:afterAutospacing="0" w:after="0"/>
              <w:ind w:left="0" w:right="0" w:hanging="0"/>
              <w:rPr>
                <w:rFonts w:ascii="Times New Roman" w:hAnsi="Times New Roman" w:eastAsia="Times New Roman" w:cs="Times New Roman"/>
                <w:sz w:val="24"/>
              </w:rPr>
            </w:pPr>
            <w:r>
              <w:rPr>
                <w:rFonts w:eastAsia="Times New Roman" w:cs="Times New Roman" w:ascii="Times New Roman" w:hAnsi="Times New Roman"/>
                <w:sz w:val="20"/>
                <w:szCs w:val="20"/>
              </w:rPr>
              <w:t>"____"   ____________ 20____г.</w:t>
            </w:r>
          </w:p>
        </w:tc>
        <w:tc>
          <w:tcPr>
            <w:tcW w:w="3127" w:type="dxa"/>
            <w:tcBorders/>
            <w:vAlign w:val="center"/>
          </w:tcPr>
          <w:p>
            <w:pPr>
              <w:pStyle w:val="Normal"/>
              <w:widowControl w:val="false"/>
              <w:ind w:left="0" w:right="0" w:hanging="0"/>
              <w:rPr>
                <w:sz w:val="24"/>
              </w:rPr>
            </w:pPr>
            <w:r>
              <w:rPr>
                <w:sz w:val="24"/>
              </w:rPr>
            </w:r>
          </w:p>
        </w:tc>
        <w:tc>
          <w:tcPr>
            <w:tcW w:w="3127" w:type="dxa"/>
            <w:tcBorders/>
            <w:vAlign w:val="center"/>
          </w:tcPr>
          <w:p>
            <w:pPr>
              <w:pStyle w:val="Normal"/>
              <w:widowControl w:val="false"/>
              <w:ind w:left="0" w:right="0" w:hanging="0"/>
              <w:rPr>
                <w:sz w:val="24"/>
              </w:rPr>
            </w:pPr>
            <w:r>
              <w:rPr>
                <w:sz w:val="24"/>
              </w:rPr>
            </w:r>
          </w:p>
        </w:tc>
      </w:tr>
    </w:tbl>
    <w:p>
      <w:pPr>
        <w:pStyle w:val="Normal"/>
        <w:rPr>
          <w:rFonts w:ascii="Times New Roman" w:hAnsi="Times New Roman" w:eastAsia="Times New Roman" w:cs="Times New Roman"/>
          <w:sz w:val="24"/>
          <w:szCs w:val="24"/>
        </w:rPr>
      </w:pPr>
      <w:r>
        <w:rPr/>
      </w:r>
    </w:p>
    <w:sectPr>
      <w:type w:val="nextPage"/>
      <w:pgSz w:orient="landscape" w:w="15840" w:h="12240"/>
      <w:pgMar w:left="1700" w:right="850" w:gutter="0" w:header="0" w:top="1133" w:footer="0" w:bottom="1133"/>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Segoe UI">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zh-CN" w:bidi="hi-IN"/>
      </w:rPr>
    </w:rPrDefault>
    <w:pPrDefault>
      <w:pPr>
        <w:suppressAutoHyphens w:val="true"/>
      </w:pPr>
    </w:pPrDefault>
  </w:docDefaults>
  <w:style w:type="paragraph" w:styleId="Normal" w:default="1">
    <w:name w:val="Normal"/>
    <w:qFormat/>
    <w:pPr>
      <w:keepNext w:val="false"/>
      <w:keepLines w:val="false"/>
      <w:pageBreakBefore w:val="false"/>
      <w:widowControl/>
      <w:shd w:val="clear" w:fill="auto"/>
      <w:suppressAutoHyphens w:val="false"/>
      <w:bidi w:val="0"/>
      <w:spacing w:lineRule="auto" w:line="240" w:beforeAutospacing="0" w:before="0" w:afterAutospacing="0" w:after="0"/>
      <w:ind w:left="0" w:right="0" w:hanging="0"/>
      <w:jc w:val="left"/>
    </w:pPr>
    <w:rPr>
      <w:rFonts w:ascii="Calibri" w:hAnsi="Calibri" w:eastAsia="" w:cs="" w:asciiTheme="minorHAnsi" w:cstheme="minorBidi" w:eastAsiaTheme="minorEastAsia" w:hAnsiTheme="minorHAnsi"/>
      <w:color w:val="auto"/>
      <w:kern w:val="0"/>
      <w:sz w:val="22"/>
      <w:szCs w:val="22"/>
      <w:lang w:val="ru-RU" w:eastAsia="zh-CN" w:bidi="hi-IN"/>
    </w:rPr>
  </w:style>
  <w:style w:type="character" w:styleId="DefaultParagraphFont" w:default="1">
    <w:name w:val="Default Paragraph Font"/>
    <w:semiHidden/>
    <w:qFormat/>
    <w:rPr/>
  </w:style>
  <w:style w:type="character" w:styleId="Style14">
    <w:name w:val="Line Number"/>
    <w:basedOn w:val="DefaultParagraphFont"/>
    <w:semiHidden/>
    <w:rPr/>
  </w:style>
  <w:style w:type="character" w:styleId="-">
    <w:name w:val="Hyperlink"/>
    <w:rPr>
      <w:color w:val="0000FF"/>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sz="4" w:space="0" w:themeTint="0"/>
        <w:left w:val="single" w:color="000000" w:sz="4" w:space="0" w:themeTint="0"/>
        <w:bottom w:val="single" w:color="000000" w:sz="4" w:space="0" w:themeTint="0"/>
        <w:right w:val="single" w:color="000000" w:sz="4" w:space="0" w:themeTint="0"/>
        <w:insideH w:val="single" w:color="000000" w:sz="4" w:space="0" w:themeTint="0"/>
        <w:insideV w:val="single" w:color="000000" w:sz="4" w:space="0" w:themeTint="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3</TotalTime>
  <Application>LibreOffice/7.5.4.2$Windows_X86_64 LibreOffice_project/36ccfdc35048b057fd9854c757a8b67ec53977b6</Application>
  <AppVersion>15.0000</AppVersion>
  <Pages>21</Pages>
  <Words>4058</Words>
  <Characters>24563</Characters>
  <CharactersWithSpaces>29720</CharactersWithSpaces>
  <Paragraphs>305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2025-03-04T06:21:08Z</dcterms:created>
  <dc:creator/>
  <dc:description/>
  <dc:language>ru-RU</dc:language>
  <cp:lastModifiedBy/>
  <dcterms:modified xsi:type="dcterms:W3CDTF">2025-03-05T14:46:52Z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