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0A0" w:rsidRDefault="00BF00A0" w:rsidP="00BF00A0">
      <w:pPr>
        <w:pStyle w:val="Standarduser"/>
        <w:spacing w:before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ПРОЕКТ</w:t>
      </w:r>
    </w:p>
    <w:p w:rsidR="009D5EDE" w:rsidRPr="00632592" w:rsidRDefault="005B1FDF">
      <w:pPr>
        <w:pStyle w:val="Standarduser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32592">
        <w:rPr>
          <w:rFonts w:ascii="Times New Roman" w:hAnsi="Times New Roman" w:cs="Times New Roman"/>
          <w:bCs/>
          <w:sz w:val="24"/>
          <w:szCs w:val="24"/>
        </w:rPr>
        <w:t>П</w:t>
      </w:r>
      <w:r w:rsidR="00632592" w:rsidRPr="00632592">
        <w:rPr>
          <w:rFonts w:ascii="Times New Roman" w:hAnsi="Times New Roman" w:cs="Times New Roman"/>
          <w:bCs/>
          <w:sz w:val="24"/>
          <w:szCs w:val="24"/>
        </w:rPr>
        <w:t>АСПОРТ</w:t>
      </w:r>
    </w:p>
    <w:p w:rsidR="009D5EDE" w:rsidRPr="00632592" w:rsidRDefault="005B1FDF">
      <w:pPr>
        <w:pStyle w:val="Standarduser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32592">
        <w:rPr>
          <w:rFonts w:ascii="Times New Roman" w:hAnsi="Times New Roman" w:cs="Times New Roman"/>
          <w:bCs/>
          <w:sz w:val="24"/>
          <w:szCs w:val="24"/>
        </w:rPr>
        <w:t>муниципальной программы Жердевского муниципального округа</w:t>
      </w:r>
      <w:r w:rsidR="00632592" w:rsidRPr="00632592">
        <w:rPr>
          <w:rFonts w:ascii="Times New Roman" w:hAnsi="Times New Roman" w:cs="Times New Roman"/>
          <w:bCs/>
          <w:sz w:val="24"/>
          <w:szCs w:val="24"/>
        </w:rPr>
        <w:t xml:space="preserve"> Тамбовской области</w:t>
      </w:r>
    </w:p>
    <w:p w:rsidR="009D5EDE" w:rsidRPr="00632592" w:rsidRDefault="005B1FDF">
      <w:pPr>
        <w:pStyle w:val="Standard"/>
        <w:jc w:val="center"/>
        <w:rPr>
          <w:rFonts w:ascii="Times New Roman" w:hAnsi="Times New Roman" w:cs="Times New Roman"/>
        </w:rPr>
      </w:pPr>
      <w:r w:rsidRPr="00632592">
        <w:rPr>
          <w:rFonts w:ascii="Times New Roman" w:hAnsi="Times New Roman" w:cs="Times New Roman"/>
        </w:rPr>
        <w:t>«Доступная среда»</w:t>
      </w:r>
    </w:p>
    <w:p w:rsidR="009D5EDE" w:rsidRPr="00632592" w:rsidRDefault="009D5EDE">
      <w:pPr>
        <w:pStyle w:val="Standarduser"/>
        <w:spacing w:before="0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tbl>
      <w:tblPr>
        <w:tblW w:w="9311" w:type="dxa"/>
        <w:tblInd w:w="9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34"/>
        <w:gridCol w:w="5377"/>
      </w:tblGrid>
      <w:tr w:rsidR="005D1D69" w:rsidRPr="00632592" w:rsidTr="00CF7B85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5EDE" w:rsidRPr="00632592" w:rsidRDefault="005B1FDF">
            <w:pPr>
              <w:pStyle w:val="TableContents"/>
              <w:rPr>
                <w:color w:val="FF0000"/>
              </w:rPr>
            </w:pPr>
            <w:r w:rsidRPr="00CF7B85">
              <w:t>Ответственный исполнитель муниципальной программы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5EDE" w:rsidRPr="00CF7B85" w:rsidRDefault="00CF7B85">
            <w:pPr>
              <w:pStyle w:val="Standard"/>
              <w:rPr>
                <w:rFonts w:ascii="Times New Roman" w:hAnsi="Times New Roman" w:cs="Times New Roman"/>
                <w:color w:val="FF0000"/>
              </w:rPr>
            </w:pPr>
            <w:r w:rsidRPr="00CF7B85">
              <w:rPr>
                <w:rFonts w:ascii="Times New Roman" w:hAnsi="Times New Roman" w:cs="Times New Roman"/>
              </w:rPr>
              <w:t>Главный специалист отдела по общим вопросам управления по развитию территорий и кадровой политики администрации Жердевского муниципального округа Тамбовской области</w:t>
            </w:r>
          </w:p>
        </w:tc>
      </w:tr>
      <w:tr w:rsidR="005D1D69" w:rsidRPr="00632592" w:rsidTr="00CF7B85">
        <w:tc>
          <w:tcPr>
            <w:tcW w:w="39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5EDE" w:rsidRPr="00632592" w:rsidRDefault="005B1FDF">
            <w:pPr>
              <w:pStyle w:val="TableContents"/>
              <w:rPr>
                <w:color w:val="FF0000"/>
              </w:rPr>
            </w:pPr>
            <w:r w:rsidRPr="00E42DFC">
              <w:t>Соисполнители муниципальной программы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2DFC" w:rsidRDefault="00E42DFC">
            <w:pPr>
              <w:pStyle w:val="Standard"/>
              <w:rPr>
                <w:rFonts w:ascii="Times New Roman" w:hAnsi="Times New Roman" w:cs="Times New Roman"/>
              </w:rPr>
            </w:pPr>
            <w:r w:rsidRPr="00E42DFC">
              <w:rPr>
                <w:rFonts w:ascii="Times New Roman" w:hAnsi="Times New Roman" w:cs="Times New Roman"/>
              </w:rPr>
              <w:t xml:space="preserve">Управление образования Жердевского муниципального округа; </w:t>
            </w:r>
          </w:p>
          <w:p w:rsidR="00E42DFC" w:rsidRDefault="00E42DFC">
            <w:pPr>
              <w:pStyle w:val="Standard"/>
              <w:rPr>
                <w:rFonts w:ascii="Times New Roman" w:hAnsi="Times New Roman" w:cs="Times New Roman"/>
              </w:rPr>
            </w:pPr>
            <w:r w:rsidRPr="00E42DFC">
              <w:rPr>
                <w:rFonts w:ascii="Times New Roman" w:hAnsi="Times New Roman" w:cs="Times New Roman"/>
              </w:rPr>
              <w:t xml:space="preserve">Отдел культуры архивного дела и туризма Жердевского муниципального округа; </w:t>
            </w:r>
          </w:p>
          <w:p w:rsidR="00E42DFC" w:rsidRDefault="00E42DFC">
            <w:pPr>
              <w:pStyle w:val="Standard"/>
              <w:rPr>
                <w:rFonts w:ascii="Times New Roman" w:hAnsi="Times New Roman" w:cs="Times New Roman"/>
              </w:rPr>
            </w:pPr>
            <w:r w:rsidRPr="00E42DFC">
              <w:rPr>
                <w:rFonts w:ascii="Times New Roman" w:hAnsi="Times New Roman" w:cs="Times New Roman"/>
              </w:rPr>
              <w:t>Отдел по развитию физической культуры, спорта и молодежной политики Жердевского муниципального округа;</w:t>
            </w:r>
          </w:p>
          <w:p w:rsidR="009D5EDE" w:rsidRPr="00E42DFC" w:rsidRDefault="00E42DFC">
            <w:pPr>
              <w:pStyle w:val="Standard"/>
              <w:rPr>
                <w:rFonts w:ascii="Times New Roman" w:hAnsi="Times New Roman" w:cs="Times New Roman"/>
                <w:color w:val="FF0000"/>
              </w:rPr>
            </w:pPr>
            <w:r w:rsidRPr="00E42DFC">
              <w:rPr>
                <w:rFonts w:ascii="Times New Roman" w:hAnsi="Times New Roman" w:cs="Times New Roman"/>
              </w:rPr>
              <w:t xml:space="preserve"> Отдел по развитию предпринимательства и потребительского рынка Жердевского муниципального округа</w:t>
            </w:r>
          </w:p>
        </w:tc>
      </w:tr>
      <w:tr w:rsidR="005D1D69" w:rsidRPr="00632592">
        <w:tc>
          <w:tcPr>
            <w:tcW w:w="39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5EDE" w:rsidRPr="00632592" w:rsidRDefault="00E14052">
            <w:pPr>
              <w:pStyle w:val="TableContents"/>
              <w:rPr>
                <w:color w:val="FF0000"/>
              </w:rPr>
            </w:pPr>
            <w:r w:rsidRPr="00E14052">
              <w:t>Цели</w:t>
            </w:r>
            <w:r w:rsidR="005B1FDF" w:rsidRPr="00E14052">
              <w:t xml:space="preserve"> программы</w:t>
            </w:r>
          </w:p>
        </w:tc>
        <w:tc>
          <w:tcPr>
            <w:tcW w:w="5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5EDE" w:rsidRPr="00E14052" w:rsidRDefault="00E14052">
            <w:pPr>
              <w:pStyle w:val="Standard"/>
              <w:rPr>
                <w:rFonts w:ascii="Times New Roman" w:hAnsi="Times New Roman" w:cs="Times New Roman"/>
                <w:iCs/>
                <w:color w:val="FF0000"/>
              </w:rPr>
            </w:pPr>
            <w:r w:rsidRPr="00E14052">
              <w:rPr>
                <w:rFonts w:ascii="Times New Roman" w:hAnsi="Times New Roman" w:cs="Times New Roman"/>
              </w:rPr>
              <w:t>Обеспечение инвалидам и другим маломобильным группам населения (гражданам, испытывающих затруднения при самостоятельном передвижении, получении услуг, необходимой информации) равных с другими гражданами возможностей в реализации прав и свобод, предусмотренных законодательством, повышение уровня их жизни.</w:t>
            </w:r>
          </w:p>
        </w:tc>
      </w:tr>
      <w:tr w:rsidR="005D1D69" w:rsidRPr="00632592">
        <w:tc>
          <w:tcPr>
            <w:tcW w:w="39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5EDE" w:rsidRPr="00632592" w:rsidRDefault="00440E98">
            <w:pPr>
              <w:pStyle w:val="TableContents"/>
              <w:rPr>
                <w:color w:val="FF0000"/>
              </w:rPr>
            </w:pPr>
            <w:r w:rsidRPr="00440E98">
              <w:t xml:space="preserve">Задачи </w:t>
            </w:r>
            <w:r w:rsidR="005B1FDF" w:rsidRPr="00440E98">
              <w:t>программы</w:t>
            </w:r>
          </w:p>
        </w:tc>
        <w:tc>
          <w:tcPr>
            <w:tcW w:w="5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0E98" w:rsidRDefault="00440E98" w:rsidP="00EE66CA">
            <w:pPr>
              <w:pStyle w:val="Textbody"/>
              <w:widowControl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40E98">
              <w:rPr>
                <w:rFonts w:ascii="Times New Roman" w:hAnsi="Times New Roman" w:cs="Times New Roman"/>
              </w:rPr>
              <w:t xml:space="preserve">Создание благоприятных условий для улучшения качества жизни инвалидов; </w:t>
            </w:r>
          </w:p>
          <w:p w:rsidR="00440E98" w:rsidRDefault="00440E98" w:rsidP="00EE66CA">
            <w:pPr>
              <w:pStyle w:val="Textbody"/>
              <w:widowControl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40E98">
              <w:rPr>
                <w:rFonts w:ascii="Times New Roman" w:hAnsi="Times New Roman" w:cs="Times New Roman"/>
              </w:rPr>
              <w:t xml:space="preserve">Обеспечение беспрепятственного доступа инвалидов к информации и объектам социальной инфраструктуры; </w:t>
            </w:r>
          </w:p>
          <w:p w:rsidR="009D5EDE" w:rsidRPr="00440E98" w:rsidRDefault="00440E98" w:rsidP="00EE66CA">
            <w:pPr>
              <w:pStyle w:val="Textbody"/>
              <w:widowControl/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440E98">
              <w:rPr>
                <w:rFonts w:ascii="Times New Roman" w:hAnsi="Times New Roman" w:cs="Times New Roman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населения.</w:t>
            </w:r>
          </w:p>
        </w:tc>
      </w:tr>
      <w:tr w:rsidR="005E7044" w:rsidRPr="00632592">
        <w:tc>
          <w:tcPr>
            <w:tcW w:w="39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7044" w:rsidRPr="005E7044" w:rsidRDefault="005E7044" w:rsidP="005E7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044">
              <w:rPr>
                <w:rFonts w:ascii="Times New Roman" w:hAnsi="Times New Roman" w:cs="Times New Roman"/>
                <w:sz w:val="24"/>
                <w:szCs w:val="24"/>
              </w:rPr>
              <w:t xml:space="preserve">Этапы и сроки реализации программы </w:t>
            </w:r>
          </w:p>
        </w:tc>
        <w:tc>
          <w:tcPr>
            <w:tcW w:w="5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7044" w:rsidRPr="005E7044" w:rsidRDefault="005E7044" w:rsidP="005E7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04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реализуется в один этап: 2024 - 2030 годы</w:t>
            </w:r>
          </w:p>
        </w:tc>
      </w:tr>
      <w:tr w:rsidR="005D1D69" w:rsidRPr="00632592" w:rsidTr="00C32613">
        <w:tc>
          <w:tcPr>
            <w:tcW w:w="3934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5EDE" w:rsidRPr="00632592" w:rsidRDefault="00C32613">
            <w:pPr>
              <w:pStyle w:val="TableContents"/>
              <w:rPr>
                <w:color w:val="FF0000"/>
              </w:rPr>
            </w:pPr>
            <w:r>
              <w:t>Целевые индикаторы и показатели программы</w:t>
            </w:r>
          </w:p>
        </w:tc>
        <w:tc>
          <w:tcPr>
            <w:tcW w:w="537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12A0" w:rsidRDefault="00C32613">
            <w:pPr>
              <w:pStyle w:val="TableContents"/>
            </w:pPr>
            <w:r>
              <w:t xml:space="preserve">– доля инвалидов, положительно оценивающих уровень доступности приоритетных объектов и услуг в приоритетных сферах жизнедеятельности, в общей численности инвалидов в </w:t>
            </w:r>
            <w:proofErr w:type="spellStart"/>
            <w:r>
              <w:t>Жердевском</w:t>
            </w:r>
            <w:proofErr w:type="spellEnd"/>
            <w:r>
              <w:t xml:space="preserve"> муниципальном округе – 75%; </w:t>
            </w:r>
          </w:p>
          <w:p w:rsidR="00B112A0" w:rsidRDefault="00C32613">
            <w:pPr>
              <w:pStyle w:val="TableContents"/>
            </w:pPr>
            <w:r>
              <w:t xml:space="preserve">– доля приоритетных объектов культуры, доступных для инвалидов и других МГН, в общем количестве приоритетных объектов в сфере культуры – 30%; </w:t>
            </w:r>
          </w:p>
          <w:p w:rsidR="00B112A0" w:rsidRDefault="00C32613">
            <w:pPr>
              <w:pStyle w:val="TableContents"/>
            </w:pPr>
            <w:r>
              <w:t xml:space="preserve">– доля дошкольных образовательных организаций, в которых создана универсальная </w:t>
            </w:r>
            <w:proofErr w:type="spellStart"/>
            <w:r>
              <w:t>безбарьерная</w:t>
            </w:r>
            <w:proofErr w:type="spellEnd"/>
            <w:r>
              <w:t xml:space="preserve"> среда для инклюзивного образования детей – инвалидов, в общем количестве дошкольных образовательных организаций – 50%;</w:t>
            </w:r>
          </w:p>
          <w:p w:rsidR="00B112A0" w:rsidRDefault="00C32613" w:rsidP="00B112A0">
            <w:pPr>
              <w:pStyle w:val="TableContents"/>
            </w:pPr>
            <w:r>
              <w:t xml:space="preserve"> – доля общеобразовательных организаций, в </w:t>
            </w:r>
            <w:r>
              <w:lastRenderedPageBreak/>
              <w:t xml:space="preserve">которых создана универсальная </w:t>
            </w:r>
            <w:proofErr w:type="spellStart"/>
            <w:r>
              <w:t>безбарьерная</w:t>
            </w:r>
            <w:proofErr w:type="spellEnd"/>
            <w:r>
              <w:t xml:space="preserve"> среда для инклюзивного образования детей – инвалидов, в общем количестве</w:t>
            </w:r>
            <w:r w:rsidR="00B112A0">
              <w:t xml:space="preserve"> о</w:t>
            </w:r>
            <w:r>
              <w:t>бщеобразовательных организаций – 65%;</w:t>
            </w:r>
          </w:p>
          <w:p w:rsidR="00B112A0" w:rsidRDefault="00C32613" w:rsidP="00B112A0">
            <w:pPr>
              <w:pStyle w:val="TableContents"/>
            </w:pPr>
            <w:r>
              <w:t xml:space="preserve"> – Доля детей-инвалидов в возрасте от 5 до 18 лет, получающих дополнительное образование, в общей численности детей – инвалидов такого возраста – 70%; </w:t>
            </w:r>
          </w:p>
          <w:p w:rsidR="00B112A0" w:rsidRDefault="00C32613" w:rsidP="00B112A0">
            <w:pPr>
              <w:pStyle w:val="TableContents"/>
            </w:pPr>
            <w:r>
              <w:t xml:space="preserve">– 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этой категории граждан – 80%; </w:t>
            </w:r>
          </w:p>
          <w:p w:rsidR="00B112A0" w:rsidRDefault="00C32613" w:rsidP="00B112A0">
            <w:pPr>
              <w:pStyle w:val="TableContents"/>
            </w:pPr>
            <w:r>
              <w:t xml:space="preserve">– доля инвалидов, положительно оценивающих отношение населения к проблемам инвалидов, </w:t>
            </w:r>
            <w:proofErr w:type="gramStart"/>
            <w:r>
              <w:t>в обшей</w:t>
            </w:r>
            <w:proofErr w:type="gramEnd"/>
            <w:r>
              <w:t xml:space="preserve"> численности опрошенных инвалидов Жердевского муниципального округа – 65%; </w:t>
            </w:r>
          </w:p>
          <w:p w:rsidR="009D5EDE" w:rsidRPr="00632592" w:rsidRDefault="00C32613" w:rsidP="00B112A0">
            <w:pPr>
              <w:pStyle w:val="TableContents"/>
              <w:rPr>
                <w:iCs/>
                <w:color w:val="FF0000"/>
              </w:rPr>
            </w:pPr>
            <w:r>
              <w:t>– 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– 52%.</w:t>
            </w:r>
          </w:p>
        </w:tc>
      </w:tr>
      <w:tr w:rsidR="00325D4F" w:rsidRPr="00632592" w:rsidTr="00C32613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5D4F" w:rsidRPr="00C950FC" w:rsidRDefault="00325D4F" w:rsidP="00A365E3">
            <w:pPr>
              <w:pStyle w:val="TableContents"/>
            </w:pPr>
            <w:r>
              <w:lastRenderedPageBreak/>
              <w:t>Ожидаемые конечные результаты реализации программы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5D4F" w:rsidRDefault="00325D4F" w:rsidP="00EE66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D4F">
              <w:rPr>
                <w:rFonts w:ascii="Times New Roman" w:hAnsi="Times New Roman" w:cs="Times New Roman"/>
                <w:sz w:val="24"/>
                <w:szCs w:val="24"/>
              </w:rPr>
              <w:t>1. Создание благоприятных условий для улучшения качества жизни инвалидов;</w:t>
            </w:r>
          </w:p>
          <w:p w:rsidR="00325D4F" w:rsidRDefault="00325D4F" w:rsidP="00EE66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D4F">
              <w:rPr>
                <w:rFonts w:ascii="Times New Roman" w:hAnsi="Times New Roman" w:cs="Times New Roman"/>
                <w:sz w:val="24"/>
                <w:szCs w:val="24"/>
              </w:rPr>
              <w:t xml:space="preserve"> 2. Обеспечение беспрепятственного доступа инвалидов к информации и объектам социальной инфраструктуры; </w:t>
            </w:r>
          </w:p>
          <w:p w:rsidR="00325D4F" w:rsidRPr="00325D4F" w:rsidRDefault="00325D4F" w:rsidP="00EE66CA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25D4F">
              <w:rPr>
                <w:rFonts w:ascii="Times New Roman" w:hAnsi="Times New Roman" w:cs="Times New Roman"/>
                <w:sz w:val="24"/>
                <w:szCs w:val="24"/>
              </w:rPr>
              <w:t>3. Повышение уровня доступности приоритетных объектов и услуг в приоритетных сферах жизнедеятельности инвалидов и других маломобильных групп населения.</w:t>
            </w:r>
          </w:p>
        </w:tc>
      </w:tr>
      <w:tr w:rsidR="005D1D69" w:rsidRPr="00632592" w:rsidTr="00C32613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6CA" w:rsidRPr="00632592" w:rsidRDefault="00EE66CA" w:rsidP="00A365E3">
            <w:pPr>
              <w:pStyle w:val="TableContents"/>
              <w:rPr>
                <w:color w:val="FF0000"/>
              </w:rPr>
            </w:pPr>
            <w:r w:rsidRPr="00C950FC">
              <w:t>Объемы и источники финансового обеспечения муниципальной программы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66CA" w:rsidRPr="00BF00A0" w:rsidRDefault="00EE66CA" w:rsidP="00EE66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BF00A0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202</w:t>
            </w:r>
            <w:r w:rsidR="00C950FC" w:rsidRPr="00BF00A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BF00A0" w:rsidRPr="00BF00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 – </w:t>
            </w:r>
            <w:r w:rsidR="00111863" w:rsidRPr="00BF00A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F00A0" w:rsidRPr="00BF00A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BF00A0">
              <w:rPr>
                <w:rFonts w:ascii="Times New Roman" w:hAnsi="Times New Roman" w:cs="Times New Roman"/>
                <w:b/>
                <w:sz w:val="24"/>
                <w:szCs w:val="24"/>
              </w:rPr>
              <w:t>,0 тыс. рублей</w:t>
            </w:r>
            <w:r w:rsidRPr="00BF00A0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числе: </w:t>
            </w:r>
          </w:p>
          <w:p w:rsidR="00EE66CA" w:rsidRPr="00BF00A0" w:rsidRDefault="00EE66CA" w:rsidP="00EE66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0A0">
              <w:rPr>
                <w:rFonts w:ascii="Times New Roman" w:hAnsi="Times New Roman" w:cs="Times New Roman"/>
                <w:sz w:val="24"/>
                <w:szCs w:val="24"/>
              </w:rPr>
              <w:t>средства бюджета Жерде</w:t>
            </w:r>
            <w:r w:rsidR="00BF00A0" w:rsidRPr="00BF00A0">
              <w:rPr>
                <w:rFonts w:ascii="Times New Roman" w:hAnsi="Times New Roman" w:cs="Times New Roman"/>
                <w:sz w:val="24"/>
                <w:szCs w:val="24"/>
              </w:rPr>
              <w:t xml:space="preserve">вского муниципального округа – </w:t>
            </w:r>
            <w:r w:rsidR="00111863" w:rsidRPr="00BF00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F00A0" w:rsidRPr="00BF00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F00A0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EE66CA" w:rsidRPr="00BF00A0" w:rsidRDefault="00EE66CA" w:rsidP="00EE66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0A0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202</w:t>
            </w:r>
            <w:r w:rsidR="00C950FC" w:rsidRPr="00BF00A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BF00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 – 85,0 тыс. рублей</w:t>
            </w:r>
            <w:r w:rsidRPr="00BF00A0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числе: </w:t>
            </w:r>
          </w:p>
          <w:p w:rsidR="00EE66CA" w:rsidRPr="00BF00A0" w:rsidRDefault="00EE66CA" w:rsidP="00EE66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0A0">
              <w:rPr>
                <w:rFonts w:ascii="Times New Roman" w:hAnsi="Times New Roman" w:cs="Times New Roman"/>
                <w:sz w:val="24"/>
                <w:szCs w:val="24"/>
              </w:rPr>
              <w:t>средства бюджета Жердевского муниципального округа – 85,0 тыс. рублей;</w:t>
            </w:r>
          </w:p>
          <w:p w:rsidR="00EE66CA" w:rsidRPr="00BF00A0" w:rsidRDefault="00EE66CA" w:rsidP="00EE66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0A0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202</w:t>
            </w:r>
            <w:r w:rsidR="00C950FC" w:rsidRPr="00BF00A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F00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 – 85,0 тыс. рублей</w:t>
            </w:r>
            <w:r w:rsidRPr="00BF00A0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числе: </w:t>
            </w:r>
          </w:p>
          <w:p w:rsidR="00EE66CA" w:rsidRPr="00632592" w:rsidRDefault="00EE66CA" w:rsidP="00111863">
            <w:pPr>
              <w:pStyle w:val="TableContents"/>
              <w:rPr>
                <w:iCs/>
                <w:color w:val="FF0000"/>
              </w:rPr>
            </w:pPr>
            <w:r w:rsidRPr="00BF00A0">
              <w:t>средства бюджета Жердевского муниципального округа – 85,0 тыс. рублей.</w:t>
            </w:r>
            <w:bookmarkEnd w:id="0"/>
          </w:p>
        </w:tc>
      </w:tr>
    </w:tbl>
    <w:p w:rsidR="009D5EDE" w:rsidRDefault="009D5EDE" w:rsidP="0035504A"/>
    <w:sectPr w:rsidR="009D5EDE">
      <w:headerReference w:type="default" r:id="rId7"/>
      <w:pgSz w:w="11906" w:h="16838"/>
      <w:pgMar w:top="1134" w:right="850" w:bottom="720" w:left="1701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EB1" w:rsidRDefault="00080EB1">
      <w:r>
        <w:separator/>
      </w:r>
    </w:p>
  </w:endnote>
  <w:endnote w:type="continuationSeparator" w:id="0">
    <w:p w:rsidR="00080EB1" w:rsidRDefault="00080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EB1" w:rsidRDefault="00080EB1">
      <w:r>
        <w:rPr>
          <w:color w:val="000000"/>
        </w:rPr>
        <w:separator/>
      </w:r>
    </w:p>
  </w:footnote>
  <w:footnote w:type="continuationSeparator" w:id="0">
    <w:p w:rsidR="00080EB1" w:rsidRDefault="00080E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790" w:rsidRDefault="00BF00A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20328"/>
    <w:multiLevelType w:val="multilevel"/>
    <w:tmpl w:val="729C32B6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</w:rPr>
    </w:lvl>
  </w:abstractNum>
  <w:abstractNum w:abstractNumId="1" w15:restartNumberingAfterBreak="0">
    <w:nsid w:val="7CFD4F89"/>
    <w:multiLevelType w:val="multilevel"/>
    <w:tmpl w:val="20C45C62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  <w:b/>
        <w:sz w:val="2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EDE"/>
    <w:rsid w:val="00080EB1"/>
    <w:rsid w:val="00111863"/>
    <w:rsid w:val="00325D4F"/>
    <w:rsid w:val="0035504A"/>
    <w:rsid w:val="00440E98"/>
    <w:rsid w:val="004B66C0"/>
    <w:rsid w:val="005A19C4"/>
    <w:rsid w:val="005B1FDF"/>
    <w:rsid w:val="005D1D69"/>
    <w:rsid w:val="005E7044"/>
    <w:rsid w:val="00632592"/>
    <w:rsid w:val="008435F8"/>
    <w:rsid w:val="00972B32"/>
    <w:rsid w:val="009D5EDE"/>
    <w:rsid w:val="00B112A0"/>
    <w:rsid w:val="00BF00A0"/>
    <w:rsid w:val="00C32613"/>
    <w:rsid w:val="00C71ED2"/>
    <w:rsid w:val="00C950FC"/>
    <w:rsid w:val="00CF7B85"/>
    <w:rsid w:val="00E14052"/>
    <w:rsid w:val="00E42DFC"/>
    <w:rsid w:val="00EE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74D76"/>
  <w15:docId w15:val="{75636C80-9929-477F-A92C-14A313000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F"/>
        <w:sz w:val="22"/>
        <w:szCs w:val="22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user">
    <w:name w:val="Standard (user)"/>
    <w:pPr>
      <w:suppressAutoHyphens/>
      <w:spacing w:before="180"/>
      <w:ind w:firstLine="280"/>
      <w:jc w:val="both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customStyle="1" w:styleId="HeaderandFooter">
    <w:name w:val="Header and Footer"/>
    <w:basedOn w:val="Standard"/>
  </w:style>
  <w:style w:type="paragraph" w:styleId="a5">
    <w:name w:val="header"/>
    <w:basedOn w:val="Standarduser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pPr>
      <w:suppressLineNumbers/>
      <w:textAlignment w:val="auto"/>
    </w:pPr>
    <w:rPr>
      <w:rFonts w:ascii="Times New Roman" w:eastAsia="SimSun" w:hAnsi="Times New Roman" w:cs="Times New Roman"/>
      <w:kern w:val="0"/>
    </w:rPr>
  </w:style>
  <w:style w:type="paragraph" w:styleId="a6">
    <w:name w:val="footnote text"/>
    <w:basedOn w:val="a"/>
    <w:rPr>
      <w:sz w:val="20"/>
      <w:szCs w:val="20"/>
    </w:rPr>
  </w:style>
  <w:style w:type="paragraph" w:styleId="a7">
    <w:name w:val="Balloon Text"/>
    <w:basedOn w:val="a"/>
    <w:rPr>
      <w:rFonts w:ascii="Tahoma" w:eastAsia="Tahoma" w:hAnsi="Tahoma" w:cs="Tahoma"/>
      <w:sz w:val="16"/>
      <w:szCs w:val="16"/>
    </w:rPr>
  </w:style>
  <w:style w:type="paragraph" w:customStyle="1" w:styleId="Footnote">
    <w:name w:val="Footnote"/>
    <w:basedOn w:val="Standard"/>
    <w:pPr>
      <w:suppressLineNumbers/>
      <w:ind w:left="340" w:hanging="340"/>
    </w:pPr>
    <w:rPr>
      <w:sz w:val="20"/>
      <w:szCs w:val="20"/>
    </w:rPr>
  </w:style>
  <w:style w:type="paragraph" w:customStyle="1" w:styleId="1">
    <w:name w:val="Обычная таблица1"/>
    <w:pPr>
      <w:widowControl/>
      <w:textAlignment w:val="auto"/>
    </w:pPr>
    <w:rPr>
      <w:rFonts w:eastAsia="Times New Roman" w:cs="Times New Roman"/>
      <w:lang w:eastAsia="ru-RU"/>
    </w:rPr>
  </w:style>
  <w:style w:type="paragraph" w:customStyle="1" w:styleId="Style17">
    <w:name w:val="Style17"/>
    <w:basedOn w:val="Standard"/>
    <w:pPr>
      <w:spacing w:line="324" w:lineRule="exact"/>
      <w:ind w:firstLine="720"/>
    </w:pPr>
  </w:style>
  <w:style w:type="paragraph" w:customStyle="1" w:styleId="Style13">
    <w:name w:val="Style13"/>
    <w:basedOn w:val="Standard"/>
    <w:pPr>
      <w:spacing w:line="317" w:lineRule="exact"/>
    </w:pPr>
  </w:style>
  <w:style w:type="paragraph" w:customStyle="1" w:styleId="a8">
    <w:name w:val="Стиль"/>
    <w:pPr>
      <w:suppressAutoHyphens/>
      <w:textAlignment w:val="auto"/>
    </w:pPr>
    <w:rPr>
      <w:rFonts w:ascii="Times New Roman" w:eastAsia="Arial" w:hAnsi="Times New Roman" w:cs="Times New Roman"/>
      <w:sz w:val="24"/>
      <w:szCs w:val="24"/>
      <w:lang w:eastAsia="zh-CN"/>
    </w:rPr>
  </w:style>
  <w:style w:type="paragraph" w:customStyle="1" w:styleId="Style28">
    <w:name w:val="Style28"/>
    <w:basedOn w:val="Standard"/>
    <w:pPr>
      <w:spacing w:line="322" w:lineRule="exact"/>
      <w:ind w:firstLine="698"/>
      <w:jc w:val="both"/>
    </w:pPr>
  </w:style>
  <w:style w:type="paragraph" w:customStyle="1" w:styleId="Style29">
    <w:name w:val="Style29"/>
    <w:basedOn w:val="Standard"/>
    <w:pPr>
      <w:jc w:val="center"/>
    </w:pPr>
  </w:style>
  <w:style w:type="paragraph" w:customStyle="1" w:styleId="Style41">
    <w:name w:val="Style41"/>
    <w:basedOn w:val="Standard"/>
    <w:pPr>
      <w:spacing w:line="322" w:lineRule="exact"/>
      <w:ind w:firstLine="533"/>
      <w:jc w:val="both"/>
    </w:pPr>
  </w:style>
  <w:style w:type="paragraph" w:customStyle="1" w:styleId="Style12">
    <w:name w:val="Style12"/>
    <w:basedOn w:val="Standard"/>
    <w:pPr>
      <w:jc w:val="both"/>
    </w:pPr>
  </w:style>
  <w:style w:type="paragraph" w:customStyle="1" w:styleId="Style5">
    <w:name w:val="Style5"/>
    <w:basedOn w:val="Standard"/>
    <w:pPr>
      <w:spacing w:line="274" w:lineRule="exact"/>
      <w:jc w:val="both"/>
    </w:pPr>
  </w:style>
  <w:style w:type="paragraph" w:customStyle="1" w:styleId="Style27">
    <w:name w:val="Style27"/>
    <w:basedOn w:val="Standard"/>
    <w:pPr>
      <w:spacing w:line="250" w:lineRule="exact"/>
    </w:pPr>
  </w:style>
  <w:style w:type="paragraph" w:customStyle="1" w:styleId="Style1">
    <w:name w:val="Style1"/>
    <w:basedOn w:val="Standard"/>
  </w:style>
  <w:style w:type="paragraph" w:customStyle="1" w:styleId="Style2">
    <w:name w:val="Style2"/>
    <w:basedOn w:val="Standard"/>
  </w:style>
  <w:style w:type="paragraph" w:customStyle="1" w:styleId="Style6">
    <w:name w:val="Style6"/>
    <w:basedOn w:val="Standard"/>
    <w:pPr>
      <w:spacing w:line="324" w:lineRule="exact"/>
      <w:ind w:firstLine="907"/>
    </w:pPr>
  </w:style>
  <w:style w:type="paragraph" w:customStyle="1" w:styleId="Style25">
    <w:name w:val="Style25"/>
    <w:basedOn w:val="Standard"/>
  </w:style>
  <w:style w:type="paragraph" w:customStyle="1" w:styleId="Style30">
    <w:name w:val="Style30"/>
    <w:basedOn w:val="Standard"/>
    <w:pPr>
      <w:spacing w:line="317" w:lineRule="exact"/>
      <w:ind w:firstLine="3492"/>
    </w:pPr>
  </w:style>
  <w:style w:type="paragraph" w:customStyle="1" w:styleId="Style45">
    <w:name w:val="Style45"/>
    <w:basedOn w:val="Standard"/>
    <w:pPr>
      <w:spacing w:line="238" w:lineRule="exact"/>
      <w:jc w:val="center"/>
    </w:pPr>
  </w:style>
  <w:style w:type="character" w:customStyle="1" w:styleId="a9">
    <w:name w:val="Верхний колонтитул Знак"/>
    <w:basedOn w:val="a0"/>
    <w:rPr>
      <w:rFonts w:ascii="Arial" w:eastAsia="Times New Roman" w:hAnsi="Arial" w:cs="Arial"/>
      <w:kern w:val="3"/>
      <w:sz w:val="20"/>
      <w:szCs w:val="20"/>
      <w:lang w:eastAsia="zh-CN"/>
    </w:rPr>
  </w:style>
  <w:style w:type="character" w:customStyle="1" w:styleId="aa">
    <w:name w:val="Текст сноски Знак"/>
    <w:basedOn w:val="a0"/>
    <w:rPr>
      <w:sz w:val="20"/>
      <w:szCs w:val="20"/>
    </w:rPr>
  </w:style>
  <w:style w:type="character" w:styleId="ab">
    <w:name w:val="footnote reference"/>
    <w:basedOn w:val="a0"/>
  </w:style>
  <w:style w:type="character" w:customStyle="1" w:styleId="ac">
    <w:name w:val="Текст выноски Знак"/>
    <w:basedOn w:val="a0"/>
    <w:rPr>
      <w:rFonts w:ascii="Tahoma" w:eastAsia="Tahoma" w:hAnsi="Tahoma" w:cs="Tahoma"/>
      <w:sz w:val="16"/>
      <w:szCs w:val="16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FontStyle158">
    <w:name w:val="Font Style158"/>
    <w:rPr>
      <w:rFonts w:ascii="Times New Roman" w:eastAsia="Times New Roman" w:hAnsi="Times New Roman" w:cs="Times New Roman"/>
      <w:sz w:val="26"/>
    </w:rPr>
  </w:style>
  <w:style w:type="character" w:customStyle="1" w:styleId="FontStyle165">
    <w:name w:val="Font Style165"/>
    <w:rPr>
      <w:rFonts w:ascii="Times New Roman" w:eastAsia="Times New Roman" w:hAnsi="Times New Roman" w:cs="Times New Roman"/>
      <w:sz w:val="20"/>
    </w:rPr>
  </w:style>
  <w:style w:type="character" w:customStyle="1" w:styleId="3">
    <w:name w:val="Основной текст3"/>
    <w:basedOn w:val="a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sz w:val="24"/>
      <w:szCs w:val="24"/>
      <w:u w:val="none"/>
      <w:shd w:val="clear" w:color="auto" w:fill="FFFFFF"/>
      <w:lang w:eastAsia="ru-RU"/>
    </w:rPr>
  </w:style>
  <w:style w:type="character" w:styleId="ad">
    <w:name w:val="Emphasis"/>
    <w:rPr>
      <w:i/>
      <w:iCs/>
    </w:rPr>
  </w:style>
  <w:style w:type="character" w:customStyle="1" w:styleId="FontStyle160">
    <w:name w:val="Font Style160"/>
    <w:rPr>
      <w:rFonts w:ascii="Times New Roman" w:eastAsia="Times New Roman" w:hAnsi="Times New Roman" w:cs="Times New Roman"/>
      <w:b/>
      <w:sz w:val="26"/>
    </w:rPr>
  </w:style>
  <w:style w:type="character" w:customStyle="1" w:styleId="FontStyle34">
    <w:name w:val="Font Style34"/>
    <w:rPr>
      <w:rFonts w:ascii="Times New Roman" w:eastAsia="Times New Roman" w:hAnsi="Times New Roman" w:cs="Times New Roman"/>
      <w:sz w:val="26"/>
    </w:rPr>
  </w:style>
  <w:style w:type="character" w:customStyle="1" w:styleId="FontStyle37">
    <w:name w:val="Font Style37"/>
    <w:rPr>
      <w:rFonts w:ascii="Times New Roman" w:eastAsia="Times New Roman" w:hAnsi="Times New Roman" w:cs="Times New Roman"/>
      <w:sz w:val="22"/>
    </w:rPr>
  </w:style>
  <w:style w:type="character" w:styleId="ae">
    <w:name w:val="Strong"/>
    <w:rPr>
      <w:b/>
    </w:rPr>
  </w:style>
  <w:style w:type="character" w:customStyle="1" w:styleId="ListLabel1">
    <w:name w:val="ListLabel 1"/>
    <w:rPr>
      <w:rFonts w:ascii="Times New Roman" w:eastAsia="Times New Roman" w:hAnsi="Times New Roman" w:cs="Times New Roman"/>
      <w:sz w:val="28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  <w:b/>
      <w:sz w:val="28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Соловьев Евгений Александрович</dc:creator>
  <cp:lastModifiedBy>user</cp:lastModifiedBy>
  <cp:revision>19</cp:revision>
  <cp:lastPrinted>2023-11-08T07:27:00Z</cp:lastPrinted>
  <dcterms:created xsi:type="dcterms:W3CDTF">2023-08-23T08:20:00Z</dcterms:created>
  <dcterms:modified xsi:type="dcterms:W3CDTF">2024-11-05T14:15:00Z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Тамбовской области</vt:lpwstr>
  </property>
</Properties>
</file>