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FB7" w:rsidRDefault="00E40FB7" w:rsidP="00E40FB7">
      <w:pPr>
        <w:pStyle w:val="Textbody"/>
        <w:autoSpaceDE w:val="0"/>
        <w:spacing w:after="0"/>
        <w:contextualSpacing/>
        <w:jc w:val="right"/>
        <w:rPr>
          <w:lang w:val="ru-RU"/>
        </w:rPr>
      </w:pPr>
      <w:r>
        <w:rPr>
          <w:lang w:val="ru-RU"/>
        </w:rPr>
        <w:t>ПАСПОРТ</w:t>
      </w:r>
    </w:p>
    <w:p w:rsidR="00345B73" w:rsidRPr="00C8672C" w:rsidRDefault="00325A1E" w:rsidP="00C8672C">
      <w:pPr>
        <w:pStyle w:val="Textbody"/>
        <w:autoSpaceDE w:val="0"/>
        <w:spacing w:after="0"/>
        <w:contextualSpacing/>
        <w:jc w:val="center"/>
        <w:rPr>
          <w:lang w:val="ru-RU"/>
        </w:rPr>
      </w:pPr>
      <w:r w:rsidRPr="00C8672C">
        <w:rPr>
          <w:lang w:val="ru-RU"/>
        </w:rPr>
        <w:t>ПАСПОРТ</w:t>
      </w:r>
    </w:p>
    <w:p w:rsidR="00345B73" w:rsidRPr="00C8672C" w:rsidRDefault="00325A1E" w:rsidP="00C8672C">
      <w:pPr>
        <w:pStyle w:val="Standard"/>
        <w:autoSpaceDE w:val="0"/>
        <w:contextualSpacing/>
        <w:jc w:val="center"/>
        <w:rPr>
          <w:lang w:val="ru-RU"/>
        </w:rPr>
      </w:pPr>
      <w:r w:rsidRPr="00C8672C">
        <w:rPr>
          <w:lang w:val="ru-RU"/>
        </w:rPr>
        <w:t>м</w:t>
      </w:r>
      <w:r w:rsidR="00BE771A" w:rsidRPr="00C8672C">
        <w:rPr>
          <w:lang w:val="ru-RU"/>
        </w:rPr>
        <w:t>униципальн</w:t>
      </w:r>
      <w:r w:rsidRPr="00C8672C">
        <w:rPr>
          <w:lang w:val="ru-RU"/>
        </w:rPr>
        <w:t>ой</w:t>
      </w:r>
      <w:r w:rsidR="00BE771A" w:rsidRPr="00C8672C">
        <w:rPr>
          <w:lang w:val="ru-RU"/>
        </w:rPr>
        <w:t xml:space="preserve"> </w:t>
      </w:r>
      <w:bookmarkStart w:id="0" w:name="sub_1000"/>
      <w:r w:rsidR="00BE771A" w:rsidRPr="00C8672C">
        <w:t>программ</w:t>
      </w:r>
      <w:r w:rsidRPr="00C8672C">
        <w:rPr>
          <w:lang w:val="ru-RU"/>
        </w:rPr>
        <w:t>ы Жердевского муниципального округа Тамбовской области</w:t>
      </w:r>
    </w:p>
    <w:p w:rsidR="00345B73" w:rsidRDefault="00BE771A" w:rsidP="00C8672C">
      <w:pPr>
        <w:pStyle w:val="Standard"/>
        <w:autoSpaceDE w:val="0"/>
        <w:contextualSpacing/>
        <w:jc w:val="center"/>
        <w:rPr>
          <w:rStyle w:val="13"/>
          <w:rFonts w:eastAsia="Times New Roman" w:cs="Times New Roman"/>
          <w:iCs/>
          <w:lang w:val="ru-RU" w:eastAsia="ar-SA" w:bidi="ar-SA"/>
        </w:rPr>
      </w:pPr>
      <w:r w:rsidRPr="00C8672C">
        <w:rPr>
          <w:rStyle w:val="13"/>
          <w:rFonts w:eastAsia="Times New Roman" w:cs="Times New Roman"/>
          <w:iCs/>
          <w:lang w:val="ru-RU" w:eastAsia="ar-SA" w:bidi="ar-SA"/>
        </w:rPr>
        <w:t>«Благоустройство территорий»</w:t>
      </w:r>
      <w:bookmarkEnd w:id="0"/>
    </w:p>
    <w:p w:rsidR="00C8672C" w:rsidRPr="00C8672C" w:rsidRDefault="00C8672C" w:rsidP="00C8672C">
      <w:pPr>
        <w:pStyle w:val="Standard"/>
        <w:autoSpaceDE w:val="0"/>
        <w:contextualSpacing/>
        <w:jc w:val="center"/>
      </w:pPr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60"/>
        <w:gridCol w:w="6875"/>
      </w:tblGrid>
      <w:tr w:rsidR="0036435C" w:rsidRPr="00325A1E" w:rsidTr="00CC6899"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D02C74" w:rsidRDefault="00BE771A">
            <w:pPr>
              <w:pStyle w:val="Standard"/>
              <w:autoSpaceDE w:val="0"/>
            </w:pPr>
            <w:r w:rsidRPr="00D02C74">
              <w:t>Ответственный исполнитель программ</w:t>
            </w:r>
            <w:r w:rsidRPr="00D02C74">
              <w:rPr>
                <w:lang w:val="ru-RU"/>
              </w:rPr>
              <w:t>ы</w:t>
            </w:r>
          </w:p>
          <w:p w:rsidR="00345B73" w:rsidRPr="00325A1E" w:rsidRDefault="00345B73">
            <w:pPr>
              <w:pStyle w:val="Standard"/>
              <w:autoSpaceDE w:val="0"/>
              <w:rPr>
                <w:color w:val="FF0000"/>
              </w:rPr>
            </w:pPr>
          </w:p>
        </w:tc>
        <w:tc>
          <w:tcPr>
            <w:tcW w:w="6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D02C74" w:rsidRDefault="00D02C74">
            <w:pPr>
              <w:pStyle w:val="TableContents"/>
              <w:autoSpaceDE w:val="0"/>
              <w:rPr>
                <w:color w:val="FF0000"/>
                <w:lang w:val="ru-RU"/>
              </w:rPr>
            </w:pPr>
            <w:r>
              <w:t>Управление ЖКХ, строительства, архитектуры и благоустройства территорий администрации Жердевского муниципального округ</w:t>
            </w:r>
            <w:r>
              <w:rPr>
                <w:lang w:val="ru-RU"/>
              </w:rPr>
              <w:t>а</w:t>
            </w:r>
          </w:p>
        </w:tc>
      </w:tr>
      <w:tr w:rsidR="0036435C" w:rsidRPr="00325A1E" w:rsidTr="00CC6899"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325A1E" w:rsidRDefault="00BE771A">
            <w:pPr>
              <w:pStyle w:val="Standard"/>
              <w:autoSpaceDE w:val="0"/>
              <w:rPr>
                <w:color w:val="FF0000"/>
              </w:rPr>
            </w:pPr>
            <w:r w:rsidRPr="003E1B3D">
              <w:t>Соисполнители программ</w:t>
            </w:r>
            <w:r w:rsidRPr="003E1B3D">
              <w:rPr>
                <w:lang w:val="ru-RU"/>
              </w:rPr>
              <w:t>ы</w:t>
            </w:r>
          </w:p>
        </w:tc>
        <w:tc>
          <w:tcPr>
            <w:tcW w:w="6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325A1E" w:rsidRDefault="003E1B3D">
            <w:pPr>
              <w:pStyle w:val="Standard"/>
              <w:autoSpaceDE w:val="0"/>
              <w:rPr>
                <w:color w:val="FF0000"/>
                <w:lang w:val="ru-RU"/>
              </w:rPr>
            </w:pPr>
            <w:r>
              <w:t>Жердевское МКУ «Управление заказчика», Жердевское городское МКУ «Служба по благоустройству и эксплуатации»</w:t>
            </w:r>
          </w:p>
        </w:tc>
      </w:tr>
      <w:tr w:rsidR="0036435C" w:rsidRPr="00325A1E" w:rsidTr="00CC6899"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C069A1" w:rsidRDefault="00C069A1">
            <w:pPr>
              <w:pStyle w:val="Standard"/>
              <w:autoSpaceDE w:val="0"/>
              <w:rPr>
                <w:color w:val="FF0000"/>
                <w:lang w:val="ru-RU"/>
              </w:rPr>
            </w:pPr>
            <w:r>
              <w:t>Цели программ</w:t>
            </w:r>
            <w:r>
              <w:rPr>
                <w:lang w:val="ru-RU"/>
              </w:rPr>
              <w:t>ы</w:t>
            </w:r>
          </w:p>
        </w:tc>
        <w:tc>
          <w:tcPr>
            <w:tcW w:w="6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9A1" w:rsidRDefault="001D10EE">
            <w:pPr>
              <w:pStyle w:val="ConsPlusNonformat"/>
              <w:tabs>
                <w:tab w:val="left" w:pos="338"/>
              </w:tabs>
              <w:autoSpaceDE w:val="0"/>
              <w:spacing w:line="230" w:lineRule="auto"/>
              <w:ind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9A1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внешнего благоустройства и санитарного содержания населенных пунктов Жердевского муниципального округа; </w:t>
            </w:r>
          </w:p>
          <w:p w:rsidR="00345B73" w:rsidRPr="00C069A1" w:rsidRDefault="001D10EE">
            <w:pPr>
              <w:pStyle w:val="ConsPlusNonformat"/>
              <w:tabs>
                <w:tab w:val="left" w:pos="338"/>
              </w:tabs>
              <w:autoSpaceDE w:val="0"/>
              <w:spacing w:line="230" w:lineRule="auto"/>
              <w:ind w:right="10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69A1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вида, со</w:t>
            </w:r>
            <w:r w:rsidR="00C069A1">
              <w:rPr>
                <w:rFonts w:ascii="Times New Roman" w:hAnsi="Times New Roman" w:cs="Times New Roman"/>
                <w:sz w:val="24"/>
                <w:szCs w:val="24"/>
              </w:rPr>
              <w:t xml:space="preserve">здание гармоничной архитектурно </w:t>
            </w:r>
            <w:r w:rsidRPr="00C069A1">
              <w:rPr>
                <w:rFonts w:ascii="Times New Roman" w:hAnsi="Times New Roman" w:cs="Times New Roman"/>
                <w:sz w:val="24"/>
                <w:szCs w:val="24"/>
              </w:rPr>
              <w:t>ландшафтной среды.</w:t>
            </w:r>
          </w:p>
        </w:tc>
      </w:tr>
      <w:tr w:rsidR="0036435C" w:rsidRPr="00325A1E" w:rsidTr="00CC6899"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325A1E" w:rsidRDefault="00BE771A">
            <w:pPr>
              <w:pStyle w:val="Standard"/>
              <w:autoSpaceDE w:val="0"/>
              <w:rPr>
                <w:color w:val="FF0000"/>
              </w:rPr>
            </w:pPr>
            <w:r w:rsidRPr="00107BE8">
              <w:t>Задачи программ</w:t>
            </w:r>
            <w:r w:rsidRPr="00107BE8">
              <w:rPr>
                <w:lang w:val="ru-RU"/>
              </w:rPr>
              <w:t>ы</w:t>
            </w:r>
          </w:p>
        </w:tc>
        <w:tc>
          <w:tcPr>
            <w:tcW w:w="6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325A1E" w:rsidRDefault="00107BE8">
            <w:pPr>
              <w:pStyle w:val="Standard"/>
              <w:autoSpaceDE w:val="0"/>
              <w:jc w:val="both"/>
              <w:rPr>
                <w:color w:val="FF0000"/>
              </w:rPr>
            </w:pPr>
            <w:r>
              <w:t>Организация экономически эффективной системы благоустройства территории округа, отвечающей современным экологическим, санитарно-гигиеническим требованиям, создающей безопасные и комфортные условия для проживания населения</w:t>
            </w:r>
          </w:p>
        </w:tc>
      </w:tr>
      <w:tr w:rsidR="0036435C" w:rsidRPr="00325A1E" w:rsidTr="00CC6899"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325A1E" w:rsidRDefault="0027665E">
            <w:pPr>
              <w:pStyle w:val="Standard"/>
              <w:autoSpaceDE w:val="0"/>
              <w:rPr>
                <w:color w:val="FF0000"/>
              </w:rPr>
            </w:pPr>
            <w:r>
              <w:t>Целевые индикаторы и показатели программы, их значения на последний год реализации</w:t>
            </w:r>
          </w:p>
        </w:tc>
        <w:tc>
          <w:tcPr>
            <w:tcW w:w="6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65E" w:rsidRDefault="0027665E">
            <w:pPr>
              <w:pStyle w:val="Standard"/>
              <w:autoSpaceDE w:val="0"/>
            </w:pPr>
            <w:r>
              <w:t xml:space="preserve">- Количество фонарей уличного освещения, установленных на территории округа— 2440 ед; </w:t>
            </w:r>
          </w:p>
          <w:p w:rsidR="0027665E" w:rsidRDefault="0027665E">
            <w:pPr>
              <w:pStyle w:val="Standard"/>
              <w:autoSpaceDE w:val="0"/>
            </w:pPr>
            <w:r>
              <w:t xml:space="preserve">- содержание мест захоронений (уборка кладбищ) – 280000 м2 ежегодно; </w:t>
            </w:r>
          </w:p>
          <w:p w:rsidR="0027665E" w:rsidRDefault="0027665E">
            <w:pPr>
              <w:pStyle w:val="Standard"/>
              <w:autoSpaceDE w:val="0"/>
            </w:pPr>
            <w:r>
              <w:t>- содержание памятников и мемориальных объектов -39 ед.;</w:t>
            </w:r>
          </w:p>
          <w:p w:rsidR="0027665E" w:rsidRDefault="0027665E">
            <w:pPr>
              <w:pStyle w:val="Standard"/>
              <w:autoSpaceDE w:val="0"/>
            </w:pPr>
            <w:r>
              <w:t xml:space="preserve"> - ликвидация свалок бытового мусора – 5000 м3 ежегодно;</w:t>
            </w:r>
          </w:p>
          <w:p w:rsidR="00345B73" w:rsidRPr="00325A1E" w:rsidRDefault="0027665E">
            <w:pPr>
              <w:pStyle w:val="Standard"/>
              <w:autoSpaceDE w:val="0"/>
              <w:rPr>
                <w:color w:val="FF0000"/>
              </w:rPr>
            </w:pPr>
            <w:r>
              <w:t xml:space="preserve"> - содержание зеленых насаждений общего пользования – 25000 м2 ежегодно</w:t>
            </w:r>
          </w:p>
        </w:tc>
      </w:tr>
      <w:tr w:rsidR="0036435C" w:rsidRPr="00325A1E" w:rsidTr="00CC6899"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357B55" w:rsidRDefault="00BE771A">
            <w:pPr>
              <w:pStyle w:val="Standard"/>
              <w:autoSpaceDE w:val="0"/>
            </w:pPr>
            <w:r w:rsidRPr="00357B55">
              <w:t>Сроки и этапы реализации программ</w:t>
            </w:r>
            <w:r w:rsidR="00C069A1" w:rsidRPr="00357B55">
              <w:rPr>
                <w:lang w:val="ru-RU"/>
              </w:rPr>
              <w:t>ы</w:t>
            </w:r>
          </w:p>
          <w:p w:rsidR="00345B73" w:rsidRPr="00357B55" w:rsidRDefault="00345B73">
            <w:pPr>
              <w:pStyle w:val="Standard"/>
              <w:autoSpaceDE w:val="0"/>
            </w:pPr>
          </w:p>
        </w:tc>
        <w:tc>
          <w:tcPr>
            <w:tcW w:w="6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B55" w:rsidRPr="00357B55" w:rsidRDefault="00357B55">
            <w:pPr>
              <w:pStyle w:val="TableContents"/>
              <w:autoSpaceDE w:val="0"/>
              <w:rPr>
                <w:lang w:val="ru-RU"/>
              </w:rPr>
            </w:pPr>
            <w:r w:rsidRPr="00357B55">
              <w:t>Программа реализуется в один этап</w:t>
            </w:r>
            <w:r w:rsidRPr="00357B55">
              <w:rPr>
                <w:lang w:val="ru-RU"/>
              </w:rPr>
              <w:t>:</w:t>
            </w:r>
          </w:p>
          <w:p w:rsidR="00345B73" w:rsidRPr="00357B55" w:rsidRDefault="00BE771A">
            <w:pPr>
              <w:pStyle w:val="TableContents"/>
              <w:autoSpaceDE w:val="0"/>
            </w:pPr>
            <w:r w:rsidRPr="00357B55">
              <w:rPr>
                <w:lang w:val="ru-RU"/>
              </w:rPr>
              <w:t>2024-2030 годы</w:t>
            </w:r>
          </w:p>
        </w:tc>
      </w:tr>
      <w:tr w:rsidR="0036435C" w:rsidRPr="00325A1E" w:rsidTr="00CC6899">
        <w:tc>
          <w:tcPr>
            <w:tcW w:w="3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C069A1" w:rsidRDefault="00BE771A" w:rsidP="00C069A1">
            <w:pPr>
              <w:pStyle w:val="Standard"/>
              <w:autoSpaceDE w:val="0"/>
              <w:rPr>
                <w:color w:val="FF0000"/>
                <w:lang w:val="ru-RU"/>
              </w:rPr>
            </w:pPr>
            <w:bookmarkStart w:id="1" w:name="_GoBack"/>
            <w:r w:rsidRPr="00C40042">
              <w:t>Объемы и источники финансирования программ</w:t>
            </w:r>
            <w:r w:rsidR="00C069A1" w:rsidRPr="00C40042">
              <w:rPr>
                <w:lang w:val="ru-RU"/>
              </w:rPr>
              <w:t>ы</w:t>
            </w:r>
            <w:bookmarkEnd w:id="1"/>
          </w:p>
        </w:tc>
        <w:tc>
          <w:tcPr>
            <w:tcW w:w="6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B73" w:rsidRPr="00205474" w:rsidRDefault="00CC6899">
            <w:pPr>
              <w:pStyle w:val="Standard"/>
              <w:snapToGrid w:val="0"/>
            </w:pPr>
            <w:r w:rsidRPr="00205474">
              <w:rPr>
                <w:b/>
              </w:rPr>
              <w:t>Итого по 2025</w:t>
            </w:r>
            <w:r w:rsidR="00BE771A" w:rsidRPr="00205474">
              <w:rPr>
                <w:b/>
              </w:rPr>
              <w:t xml:space="preserve"> году – </w:t>
            </w:r>
            <w:r w:rsidR="00205474" w:rsidRPr="00205474">
              <w:rPr>
                <w:b/>
                <w:lang w:val="ru-RU"/>
              </w:rPr>
              <w:t>68</w:t>
            </w:r>
            <w:r w:rsidR="00BD6F35" w:rsidRPr="00205474">
              <w:rPr>
                <w:b/>
                <w:lang w:val="ru-RU"/>
              </w:rPr>
              <w:t xml:space="preserve"> </w:t>
            </w:r>
            <w:r w:rsidR="00205474" w:rsidRPr="00205474">
              <w:rPr>
                <w:b/>
                <w:lang w:val="ru-RU"/>
              </w:rPr>
              <w:t>289</w:t>
            </w:r>
            <w:r w:rsidR="00BE771A" w:rsidRPr="00205474">
              <w:rPr>
                <w:b/>
              </w:rPr>
              <w:t>,</w:t>
            </w:r>
            <w:r w:rsidR="00205474" w:rsidRPr="00205474">
              <w:rPr>
                <w:b/>
                <w:lang w:val="ru-RU"/>
              </w:rPr>
              <w:t>4</w:t>
            </w:r>
            <w:r w:rsidR="00BE771A" w:rsidRPr="00205474">
              <w:rPr>
                <w:b/>
              </w:rPr>
              <w:t xml:space="preserve"> тыс. рублей, </w:t>
            </w:r>
            <w:r w:rsidR="00BE771A" w:rsidRPr="00205474">
              <w:t>в том числе:</w:t>
            </w:r>
          </w:p>
          <w:p w:rsidR="00345B73" w:rsidRPr="00205474" w:rsidRDefault="00BE771A">
            <w:pPr>
              <w:pStyle w:val="Standard"/>
              <w:snapToGrid w:val="0"/>
            </w:pPr>
            <w:r w:rsidRPr="00205474">
              <w:t xml:space="preserve">средства бюджета Жердевского муниципального округа – </w:t>
            </w:r>
            <w:r w:rsidR="00205474" w:rsidRPr="00205474">
              <w:rPr>
                <w:lang w:val="ru-RU"/>
              </w:rPr>
              <w:t>68</w:t>
            </w:r>
            <w:r w:rsidRPr="00205474">
              <w:t> </w:t>
            </w:r>
            <w:r w:rsidR="00205474" w:rsidRPr="00205474">
              <w:rPr>
                <w:lang w:val="ru-RU"/>
              </w:rPr>
              <w:t>289</w:t>
            </w:r>
            <w:r w:rsidRPr="00205474">
              <w:t>,</w:t>
            </w:r>
            <w:r w:rsidR="00205474" w:rsidRPr="00205474">
              <w:rPr>
                <w:lang w:val="ru-RU"/>
              </w:rPr>
              <w:t>4</w:t>
            </w:r>
            <w:r w:rsidRPr="00205474">
              <w:t xml:space="preserve"> тыс. рублей;</w:t>
            </w:r>
          </w:p>
          <w:p w:rsidR="00345B73" w:rsidRPr="00F10D02" w:rsidRDefault="00BE771A">
            <w:pPr>
              <w:pStyle w:val="Standard"/>
              <w:snapToGrid w:val="0"/>
            </w:pPr>
            <w:r w:rsidRPr="00F10D02">
              <w:rPr>
                <w:b/>
              </w:rPr>
              <w:t>Итого по 202</w:t>
            </w:r>
            <w:r w:rsidR="00CC6899" w:rsidRPr="00F10D02">
              <w:rPr>
                <w:b/>
                <w:lang w:val="ru-RU"/>
              </w:rPr>
              <w:t>6</w:t>
            </w:r>
            <w:r w:rsidRPr="00F10D02">
              <w:rPr>
                <w:b/>
              </w:rPr>
              <w:t xml:space="preserve"> году – </w:t>
            </w:r>
            <w:r w:rsidR="0003197E" w:rsidRPr="00F10D02">
              <w:rPr>
                <w:b/>
                <w:lang w:val="ru-RU"/>
              </w:rPr>
              <w:t>6</w:t>
            </w:r>
            <w:r w:rsidR="00F10D02" w:rsidRPr="00F10D02">
              <w:rPr>
                <w:b/>
                <w:lang w:val="ru-RU"/>
              </w:rPr>
              <w:t>3</w:t>
            </w:r>
            <w:r w:rsidRPr="00F10D02">
              <w:rPr>
                <w:b/>
              </w:rPr>
              <w:t> </w:t>
            </w:r>
            <w:r w:rsidR="00F10D02" w:rsidRPr="00F10D02">
              <w:rPr>
                <w:b/>
                <w:lang w:val="ru-RU"/>
              </w:rPr>
              <w:t>844</w:t>
            </w:r>
            <w:r w:rsidRPr="00F10D02">
              <w:rPr>
                <w:b/>
              </w:rPr>
              <w:t>,</w:t>
            </w:r>
            <w:r w:rsidR="00F10D02" w:rsidRPr="00F10D02">
              <w:rPr>
                <w:b/>
                <w:lang w:val="ru-RU"/>
              </w:rPr>
              <w:t>6</w:t>
            </w:r>
            <w:r w:rsidRPr="00F10D02">
              <w:rPr>
                <w:b/>
              </w:rPr>
              <w:t xml:space="preserve"> тыс. рублей</w:t>
            </w:r>
            <w:r w:rsidRPr="00F10D02">
              <w:t>,</w:t>
            </w:r>
            <w:r w:rsidR="00312FAF" w:rsidRPr="00F10D02">
              <w:rPr>
                <w:lang w:val="ru-RU"/>
              </w:rPr>
              <w:t xml:space="preserve"> в</w:t>
            </w:r>
            <w:r w:rsidRPr="00F10D02">
              <w:t xml:space="preserve"> том числе:</w:t>
            </w:r>
          </w:p>
          <w:p w:rsidR="00345B73" w:rsidRPr="00F10D02" w:rsidRDefault="00BE771A">
            <w:pPr>
              <w:pStyle w:val="Standard"/>
              <w:snapToGrid w:val="0"/>
            </w:pPr>
            <w:r w:rsidRPr="00F10D02">
              <w:t xml:space="preserve">средства бюджета Жердевского муниципального округа – </w:t>
            </w:r>
            <w:r w:rsidR="0003197E" w:rsidRPr="00F10D02">
              <w:rPr>
                <w:lang w:val="ru-RU"/>
              </w:rPr>
              <w:t>6</w:t>
            </w:r>
            <w:r w:rsidR="00F10D02" w:rsidRPr="00F10D02">
              <w:rPr>
                <w:lang w:val="ru-RU"/>
              </w:rPr>
              <w:t>3</w:t>
            </w:r>
            <w:r w:rsidRPr="00F10D02">
              <w:t> </w:t>
            </w:r>
            <w:r w:rsidR="00F10D02" w:rsidRPr="00F10D02">
              <w:rPr>
                <w:lang w:val="ru-RU"/>
              </w:rPr>
              <w:t>844</w:t>
            </w:r>
            <w:r w:rsidRPr="00F10D02">
              <w:t>,</w:t>
            </w:r>
            <w:r w:rsidR="00F10D02" w:rsidRPr="00F10D02">
              <w:rPr>
                <w:lang w:val="ru-RU"/>
              </w:rPr>
              <w:t>6</w:t>
            </w:r>
            <w:r w:rsidRPr="00F10D02">
              <w:t xml:space="preserve"> тыс. рублей;</w:t>
            </w:r>
          </w:p>
          <w:p w:rsidR="00345B73" w:rsidRPr="00EF7FBC" w:rsidRDefault="00BE771A">
            <w:pPr>
              <w:pStyle w:val="Standard"/>
              <w:snapToGrid w:val="0"/>
            </w:pPr>
            <w:r w:rsidRPr="00EF7FBC">
              <w:rPr>
                <w:b/>
              </w:rPr>
              <w:t>Итого по 202</w:t>
            </w:r>
            <w:r w:rsidR="00CC6899" w:rsidRPr="00EF7FBC">
              <w:rPr>
                <w:b/>
                <w:lang w:val="ru-RU"/>
              </w:rPr>
              <w:t>7</w:t>
            </w:r>
            <w:r w:rsidRPr="00EF7FBC">
              <w:rPr>
                <w:b/>
              </w:rPr>
              <w:t xml:space="preserve"> году – </w:t>
            </w:r>
            <w:r w:rsidR="00EF7FBC" w:rsidRPr="00EF7FBC">
              <w:rPr>
                <w:b/>
                <w:lang w:val="ru-RU"/>
              </w:rPr>
              <w:t>61</w:t>
            </w:r>
            <w:r w:rsidRPr="00EF7FBC">
              <w:rPr>
                <w:b/>
              </w:rPr>
              <w:t> </w:t>
            </w:r>
            <w:r w:rsidR="00EF7FBC" w:rsidRPr="00EF7FBC">
              <w:rPr>
                <w:b/>
                <w:lang w:val="ru-RU"/>
              </w:rPr>
              <w:t>827</w:t>
            </w:r>
            <w:r w:rsidRPr="00EF7FBC">
              <w:rPr>
                <w:b/>
              </w:rPr>
              <w:t>,</w:t>
            </w:r>
            <w:r w:rsidR="00EF7FBC" w:rsidRPr="00EF7FBC">
              <w:rPr>
                <w:b/>
                <w:lang w:val="ru-RU"/>
              </w:rPr>
              <w:t>5</w:t>
            </w:r>
            <w:r w:rsidRPr="00EF7FBC">
              <w:rPr>
                <w:b/>
              </w:rPr>
              <w:t xml:space="preserve"> тыс. рублей</w:t>
            </w:r>
            <w:r w:rsidRPr="00EF7FBC">
              <w:t>, в том числе:</w:t>
            </w:r>
          </w:p>
          <w:p w:rsidR="00345B73" w:rsidRPr="00325A1E" w:rsidRDefault="00BE771A" w:rsidP="00EF7FBC">
            <w:pPr>
              <w:pStyle w:val="Standard"/>
              <w:snapToGrid w:val="0"/>
              <w:rPr>
                <w:color w:val="FF0000"/>
              </w:rPr>
            </w:pPr>
            <w:r w:rsidRPr="00EF7FBC">
              <w:t xml:space="preserve">средства бюджета Жердевского муниципального округа – </w:t>
            </w:r>
            <w:r w:rsidR="00EF7FBC" w:rsidRPr="00EF7FBC">
              <w:rPr>
                <w:lang w:val="ru-RU"/>
              </w:rPr>
              <w:t>61</w:t>
            </w:r>
            <w:r w:rsidRPr="00EF7FBC">
              <w:t> </w:t>
            </w:r>
            <w:r w:rsidR="00EF7FBC" w:rsidRPr="00EF7FBC">
              <w:rPr>
                <w:lang w:val="ru-RU"/>
              </w:rPr>
              <w:t>827</w:t>
            </w:r>
            <w:r w:rsidRPr="00EF7FBC">
              <w:t>,</w:t>
            </w:r>
            <w:r w:rsidR="00EF7FBC" w:rsidRPr="00EF7FBC">
              <w:rPr>
                <w:lang w:val="ru-RU"/>
              </w:rPr>
              <w:t>5</w:t>
            </w:r>
            <w:r w:rsidR="0003197E" w:rsidRPr="00EF7FBC">
              <w:t xml:space="preserve"> тыс. рублей.</w:t>
            </w:r>
          </w:p>
        </w:tc>
      </w:tr>
    </w:tbl>
    <w:p w:rsidR="00345B73" w:rsidRPr="0003197E" w:rsidRDefault="00345B73">
      <w:pPr>
        <w:pStyle w:val="Standard"/>
        <w:autoSpaceDE w:val="0"/>
        <w:ind w:firstLine="720"/>
        <w:jc w:val="both"/>
        <w:rPr>
          <w:sz w:val="26"/>
          <w:szCs w:val="26"/>
        </w:rPr>
      </w:pPr>
    </w:p>
    <w:p w:rsidR="00345B73" w:rsidRDefault="00345B73">
      <w:pPr>
        <w:pStyle w:val="Standard"/>
        <w:autoSpaceDE w:val="0"/>
        <w:spacing w:before="108" w:after="108"/>
        <w:jc w:val="center"/>
        <w:rPr>
          <w:lang w:val="ru-RU"/>
        </w:rPr>
      </w:pPr>
    </w:p>
    <w:sectPr w:rsidR="00345B73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2A5" w:rsidRDefault="006332A5">
      <w:r>
        <w:separator/>
      </w:r>
    </w:p>
  </w:endnote>
  <w:endnote w:type="continuationSeparator" w:id="0">
    <w:p w:rsidR="006332A5" w:rsidRDefault="0063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</w:font>
  <w:font w:name="Calibri, Arial"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2A5" w:rsidRDefault="006332A5">
      <w:r>
        <w:rPr>
          <w:color w:val="000000"/>
        </w:rPr>
        <w:separator/>
      </w:r>
    </w:p>
  </w:footnote>
  <w:footnote w:type="continuationSeparator" w:id="0">
    <w:p w:rsidR="006332A5" w:rsidRDefault="0063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01E95"/>
    <w:multiLevelType w:val="multilevel"/>
    <w:tmpl w:val="CF683EEC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B73"/>
    <w:rsid w:val="0003197E"/>
    <w:rsid w:val="00107BE8"/>
    <w:rsid w:val="001D10EE"/>
    <w:rsid w:val="00205474"/>
    <w:rsid w:val="0027665E"/>
    <w:rsid w:val="00312FAF"/>
    <w:rsid w:val="00325A1E"/>
    <w:rsid w:val="00345B73"/>
    <w:rsid w:val="00357B55"/>
    <w:rsid w:val="0036435C"/>
    <w:rsid w:val="003E1B3D"/>
    <w:rsid w:val="006332A5"/>
    <w:rsid w:val="006649C4"/>
    <w:rsid w:val="00971AD1"/>
    <w:rsid w:val="00BD6F35"/>
    <w:rsid w:val="00BE771A"/>
    <w:rsid w:val="00C069A1"/>
    <w:rsid w:val="00C40042"/>
    <w:rsid w:val="00C8672C"/>
    <w:rsid w:val="00CC6899"/>
    <w:rsid w:val="00D02C74"/>
    <w:rsid w:val="00D94153"/>
    <w:rsid w:val="00E2328F"/>
    <w:rsid w:val="00E40FB7"/>
    <w:rsid w:val="00EF7FBC"/>
    <w:rsid w:val="00F1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79D4"/>
  <w15:docId w15:val="{79BFCAB0-195E-4ADF-90CC-95126BF1E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Heading"/>
    <w:next w:val="Textbody"/>
    <w:pPr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Century Gothic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caption"/>
    <w:basedOn w:val="Standard"/>
    <w:pPr>
      <w:suppressLineNumbers/>
      <w:spacing w:before="120" w:after="120"/>
    </w:pPr>
    <w:rPr>
      <w:i/>
      <w:iCs/>
    </w:rPr>
  </w:style>
  <w:style w:type="paragraph" w:styleId="a4">
    <w:name w:val="Subtitle"/>
    <w:basedOn w:val="a3"/>
    <w:next w:val="Textbody"/>
    <w:pPr>
      <w:jc w:val="center"/>
    </w:pPr>
  </w:style>
  <w:style w:type="paragraph" w:styleId="a5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7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b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c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d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" w:hAnsi="Arial" w:cs="Mangal"/>
      <w:i/>
      <w:iCs/>
      <w:sz w:val="20"/>
    </w:rPr>
  </w:style>
  <w:style w:type="paragraph" w:customStyle="1" w:styleId="ae">
    <w:name w:val="Другое"/>
    <w:basedOn w:val="Standard"/>
    <w:pPr>
      <w:shd w:val="clear" w:color="auto" w:fill="FFFFFF"/>
    </w:pPr>
    <w:rPr>
      <w:rFonts w:eastAsia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0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">
    <w:name w:val="Верхний колонтитул Знак"/>
    <w:basedOn w:val="a0"/>
  </w:style>
  <w:style w:type="character" w:customStyle="1" w:styleId="af0">
    <w:name w:val="Нижний колонтитул Знак"/>
    <w:basedOn w:val="a0"/>
  </w:style>
  <w:style w:type="character" w:customStyle="1" w:styleId="af1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4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character" w:styleId="af7">
    <w:name w:val="Emphasis"/>
    <w:rPr>
      <w:i/>
      <w:iCs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21</cp:revision>
  <dcterms:created xsi:type="dcterms:W3CDTF">2023-10-11T07:00:00Z</dcterms:created>
  <dcterms:modified xsi:type="dcterms:W3CDTF">2024-11-05T13:57:00Z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